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0"/>
        <w:tabs>
          <w:tab w:val="right" w:pos="9639"/>
          <w:tab w:val="right" w:pos="13323"/>
        </w:tabs>
        <w:spacing w:after="0"/>
        <w:rPr>
          <w:rFonts w:cs="Arial"/>
          <w:b/>
          <w:sz w:val="24"/>
          <w:szCs w:val="24"/>
        </w:rPr>
      </w:pPr>
      <w:r>
        <w:rPr>
          <w:rFonts w:cs="Arial"/>
          <w:b/>
          <w:bCs/>
          <w:sz w:val="24"/>
          <w:szCs w:val="24"/>
        </w:rPr>
        <w:t>3GPP TSG-RAN WG3 Meeting #119</w:t>
      </w:r>
      <w:r>
        <w:rPr>
          <w:rFonts w:cs="Arial"/>
          <w:b/>
          <w:sz w:val="24"/>
          <w:szCs w:val="24"/>
        </w:rPr>
        <w:tab/>
      </w:r>
      <w:r>
        <w:rPr>
          <w:rFonts w:hint="eastAsia"/>
          <w:b/>
          <w:i/>
          <w:sz w:val="28"/>
        </w:rPr>
        <w:t>R3-230699</w:t>
      </w:r>
      <w:bookmarkStart w:id="0" w:name="_GoBack"/>
      <w:bookmarkEnd w:id="0"/>
    </w:p>
    <w:p>
      <w:pPr>
        <w:pStyle w:val="50"/>
        <w:tabs>
          <w:tab w:val="right" w:pos="9639"/>
          <w:tab w:val="right" w:pos="13323"/>
        </w:tabs>
        <w:spacing w:after="0"/>
        <w:rPr>
          <w:rFonts w:cs="Arial"/>
          <w:b/>
          <w:sz w:val="24"/>
          <w:szCs w:val="24"/>
        </w:rPr>
      </w:pPr>
      <w:r>
        <w:rPr>
          <w:b/>
          <w:sz w:val="24"/>
        </w:rPr>
        <w:t>Athens, GR, 27 Feb – 03 Mar, 2023</w:t>
      </w:r>
    </w:p>
    <w:p>
      <w:pPr>
        <w:pStyle w:val="15"/>
        <w:jc w:val="both"/>
        <w:rPr>
          <w:rFonts w:eastAsia="宋体"/>
          <w:b w:val="0"/>
          <w:i w:val="0"/>
          <w:sz w:val="24"/>
        </w:rPr>
      </w:pPr>
    </w:p>
    <w:p>
      <w:pPr>
        <w:tabs>
          <w:tab w:val="left" w:pos="1985"/>
        </w:tabs>
        <w:ind w:left="1980" w:hanging="1980"/>
        <w:rPr>
          <w:rStyle w:val="74"/>
        </w:rPr>
      </w:pPr>
      <w:r>
        <w:rPr>
          <w:b/>
          <w:sz w:val="24"/>
        </w:rPr>
        <w:t>Title:</w:t>
      </w:r>
      <w:r>
        <w:rPr>
          <w:sz w:val="24"/>
        </w:rPr>
        <w:t xml:space="preserve"> </w:t>
      </w:r>
      <w:r>
        <w:rPr>
          <w:sz w:val="24"/>
        </w:rPr>
        <w:tab/>
      </w:r>
      <w:r>
        <w:rPr>
          <w:rFonts w:hint="eastAsia"/>
          <w:sz w:val="24"/>
        </w:rPr>
        <w:t>Discussion on QoE measurement in NR-DC</w:t>
      </w:r>
    </w:p>
    <w:p>
      <w:pPr>
        <w:tabs>
          <w:tab w:val="left" w:pos="1985"/>
        </w:tabs>
        <w:rPr>
          <w:rStyle w:val="74"/>
          <w:lang w:val="en-GB"/>
        </w:rPr>
      </w:pPr>
      <w:r>
        <w:rPr>
          <w:b/>
          <w:sz w:val="24"/>
        </w:rPr>
        <w:t xml:space="preserve">Source: </w:t>
      </w:r>
      <w:r>
        <w:rPr>
          <w:b/>
          <w:sz w:val="24"/>
        </w:rPr>
        <w:tab/>
      </w:r>
      <w:r>
        <w:rPr>
          <w:rFonts w:hint="eastAsia"/>
          <w:bCs/>
          <w:sz w:val="24"/>
        </w:rPr>
        <w:t>China Unicom</w:t>
      </w:r>
    </w:p>
    <w:p>
      <w:pPr>
        <w:tabs>
          <w:tab w:val="left" w:pos="1985"/>
        </w:tabs>
        <w:rPr>
          <w:rStyle w:val="74"/>
          <w:lang w:val="en-GB"/>
        </w:rPr>
      </w:pPr>
      <w:r>
        <w:rPr>
          <w:b/>
          <w:sz w:val="24"/>
        </w:rPr>
        <w:t>Agenda item:</w:t>
      </w:r>
      <w:r>
        <w:rPr>
          <w:sz w:val="24"/>
        </w:rPr>
        <w:tab/>
      </w:r>
      <w:r>
        <w:rPr>
          <w:rFonts w:hint="eastAsia"/>
          <w:sz w:val="24"/>
          <w:lang w:val="en-US"/>
        </w:rPr>
        <w:t>11</w:t>
      </w:r>
      <w:r>
        <w:rPr>
          <w:sz w:val="24"/>
        </w:rPr>
        <w:t>.3</w:t>
      </w:r>
    </w:p>
    <w:p>
      <w:pPr>
        <w:tabs>
          <w:tab w:val="left" w:pos="1985"/>
        </w:tabs>
        <w:ind w:left="1980" w:hanging="1980"/>
        <w:rPr>
          <w:rStyle w:val="74"/>
          <w:lang w:val="en-GB"/>
        </w:rPr>
      </w:pPr>
      <w:r>
        <w:rPr>
          <w:b/>
          <w:sz w:val="24"/>
        </w:rPr>
        <w:t>Document Type:</w:t>
      </w:r>
      <w:r>
        <w:rPr>
          <w:sz w:val="24"/>
        </w:rPr>
        <w:tab/>
      </w:r>
      <w:r>
        <w:rPr>
          <w:rFonts w:hint="eastAsia"/>
          <w:sz w:val="24"/>
        </w:rPr>
        <w:t>D</w:t>
      </w:r>
      <w:r>
        <w:rPr>
          <w:sz w:val="24"/>
        </w:rPr>
        <w:t>iscussion</w:t>
      </w:r>
    </w:p>
    <w:p>
      <w:pPr>
        <w:pStyle w:val="2"/>
        <w:rPr>
          <w:rFonts w:eastAsia="宋体"/>
        </w:rPr>
      </w:pPr>
      <w:r>
        <w:rPr>
          <w:rFonts w:eastAsia="宋体"/>
        </w:rPr>
        <w:t>Introduction</w:t>
      </w:r>
    </w:p>
    <w:p>
      <w:pPr>
        <w:rPr>
          <w:rFonts w:ascii="Times New Roman" w:hAnsi="Times New Roman"/>
          <w:sz w:val="21"/>
          <w:szCs w:val="21"/>
        </w:rPr>
      </w:pPr>
      <w:r>
        <w:rPr>
          <w:rFonts w:ascii="Times New Roman" w:hAnsi="Times New Roman"/>
          <w:sz w:val="21"/>
          <w:szCs w:val="21"/>
        </w:rPr>
        <w:t>The Work Item on QoE reporting has been agreed in RAN#9</w:t>
      </w:r>
      <w:r>
        <w:rPr>
          <w:rFonts w:ascii="Times New Roman" w:hAnsi="Times New Roman" w:eastAsia="宋体"/>
          <w:sz w:val="21"/>
          <w:szCs w:val="21"/>
          <w:lang w:val="en-US"/>
        </w:rPr>
        <w:t>6</w:t>
      </w:r>
      <w:r>
        <w:rPr>
          <w:rFonts w:ascii="Times New Roman" w:hAnsi="Times New Roman"/>
          <w:sz w:val="21"/>
          <w:szCs w:val="21"/>
        </w:rPr>
        <w:t xml:space="preserve"> (RP-2</w:t>
      </w:r>
      <w:r>
        <w:rPr>
          <w:rFonts w:ascii="Times New Roman" w:hAnsi="Times New Roman" w:eastAsia="宋体"/>
          <w:sz w:val="21"/>
          <w:szCs w:val="21"/>
          <w:lang w:val="en-US"/>
        </w:rPr>
        <w:t>21803</w:t>
      </w:r>
      <w:r>
        <w:rPr>
          <w:rFonts w:ascii="Times New Roman" w:hAnsi="Times New Roman"/>
          <w:sz w:val="21"/>
          <w:szCs w:val="21"/>
        </w:rPr>
        <w:t>) with the following objectives:</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numPr>
                <w:ilvl w:val="0"/>
                <w:numId w:val="5"/>
              </w:numPr>
              <w:spacing w:before="120" w:beforeLines="50" w:after="0"/>
              <w:rPr>
                <w:rFonts w:ascii="Times New Roman" w:hAnsi="Times New Roman"/>
                <w:bCs/>
              </w:rPr>
            </w:pPr>
            <w:r>
              <w:rPr>
                <w:rFonts w:ascii="Times New Roman" w:hAnsi="Times New Roman"/>
                <w:bCs/>
              </w:rPr>
              <w:t>Specify to support for QoE in NR-DC, e.g. enable QoE reporting via SN [RAN3, RAN2].</w:t>
            </w:r>
          </w:p>
          <w:p>
            <w:pPr>
              <w:numPr>
                <w:ilvl w:val="0"/>
                <w:numId w:val="6"/>
              </w:numPr>
              <w:spacing w:after="0"/>
              <w:ind w:left="720" w:hanging="360"/>
              <w:rPr>
                <w:rFonts w:ascii="Times New Roman" w:hAnsi="Times New Roman"/>
                <w:bCs/>
              </w:rPr>
            </w:pPr>
            <w:r>
              <w:rPr>
                <w:rFonts w:ascii="Times New Roman" w:hAnsi="Times New Roman"/>
              </w:rPr>
              <w:t>Specify the QoE configuration,</w:t>
            </w:r>
            <w:r>
              <w:rPr>
                <w:rFonts w:ascii="Times New Roman" w:hAnsi="Times New Roman"/>
                <w:lang w:val="en-US"/>
              </w:rPr>
              <w:t xml:space="preserve"> and</w:t>
            </w:r>
            <w:r>
              <w:rPr>
                <w:rFonts w:ascii="Times New Roman" w:hAnsi="Times New Roman"/>
              </w:rPr>
              <w:t xml:space="preserve"> measurement reporting over MN/SN for NR-DC architecture, and specify the QoE measurement reporting over the other DC leg </w:t>
            </w:r>
            <w:r>
              <w:rPr>
                <w:rFonts w:ascii="Times New Roman" w:hAnsi="Times New Roman"/>
                <w:lang w:val="en-US"/>
              </w:rPr>
              <w:t>in order to maintain the reporting continuity</w:t>
            </w:r>
            <w:r>
              <w:rPr>
                <w:rFonts w:ascii="Times New Roman" w:hAnsi="Times New Roman"/>
              </w:rPr>
              <w:t>.</w:t>
            </w:r>
          </w:p>
          <w:p>
            <w:pPr>
              <w:spacing w:after="0"/>
              <w:ind w:left="720"/>
              <w:rPr>
                <w:rFonts w:ascii="Times New Roman" w:hAnsi="Times New Roman"/>
                <w:bCs/>
              </w:rPr>
            </w:pPr>
            <w:r>
              <w:rPr>
                <w:rFonts w:ascii="Times New Roman" w:hAnsi="Times New Roman"/>
                <w:bCs/>
              </w:rPr>
              <w:t>Note 1: The QoE measurements are not perform</w:t>
            </w:r>
            <w:r>
              <w:rPr>
                <w:rFonts w:ascii="Times New Roman" w:hAnsi="Times New Roman"/>
                <w:bCs/>
                <w:lang w:val="en-US"/>
              </w:rPr>
              <w:t>ed separately</w:t>
            </w:r>
            <w:r>
              <w:rPr>
                <w:rFonts w:ascii="Times New Roman" w:hAnsi="Times New Roman"/>
                <w:bCs/>
              </w:rPr>
              <w:t xml:space="preserve"> for </w:t>
            </w:r>
            <w:r>
              <w:rPr>
                <w:rFonts w:ascii="Times New Roman" w:hAnsi="Times New Roman"/>
                <w:bCs/>
                <w:lang w:val="en-US"/>
              </w:rPr>
              <w:t xml:space="preserve">each </w:t>
            </w:r>
            <w:r>
              <w:rPr>
                <w:rFonts w:ascii="Times New Roman" w:hAnsi="Times New Roman"/>
                <w:bCs/>
              </w:rPr>
              <w:t>leg.</w:t>
            </w:r>
          </w:p>
          <w:p>
            <w:pPr>
              <w:numPr>
                <w:ilvl w:val="0"/>
                <w:numId w:val="6"/>
              </w:numPr>
              <w:spacing w:after="0"/>
              <w:ind w:left="720" w:hanging="360"/>
              <w:rPr>
                <w:rFonts w:ascii="Times New Roman" w:hAnsi="Times New Roman"/>
                <w:bCs/>
              </w:rPr>
            </w:pPr>
            <w:r>
              <w:rPr>
                <w:rFonts w:ascii="Times New Roman" w:hAnsi="Times New Roman"/>
                <w:bCs/>
              </w:rPr>
              <w:t xml:space="preserve">Support RAN-visible </w:t>
            </w:r>
            <w:r>
              <w:rPr>
                <w:rFonts w:ascii="Times New Roman" w:hAnsi="Times New Roman"/>
                <w:bCs/>
                <w:lang w:val="en-US"/>
              </w:rPr>
              <w:t xml:space="preserve">QoE </w:t>
            </w:r>
            <w:r>
              <w:rPr>
                <w:rFonts w:ascii="Times New Roman" w:hAnsi="Times New Roman"/>
                <w:bCs/>
              </w:rPr>
              <w:t>and radio related measurement configuration and reporting in NR-DC scenarios.</w:t>
            </w:r>
          </w:p>
          <w:p>
            <w:pPr>
              <w:numPr>
                <w:ilvl w:val="0"/>
                <w:numId w:val="6"/>
              </w:numPr>
              <w:spacing w:after="0"/>
              <w:ind w:left="720" w:hanging="360"/>
              <w:rPr>
                <w:rFonts w:ascii="Times New Roman" w:hAnsi="Times New Roman"/>
                <w:bCs/>
              </w:rPr>
            </w:pPr>
            <w:r>
              <w:rPr>
                <w:rFonts w:ascii="Times New Roman" w:hAnsi="Times New Roman"/>
              </w:rPr>
              <w:t>Specify the QoE measurement continuity in mobility scenarios in NR-DC</w:t>
            </w:r>
            <w:r>
              <w:rPr>
                <w:rFonts w:ascii="Times New Roman" w:hAnsi="Times New Roman"/>
                <w:bCs/>
              </w:rPr>
              <w:t>.</w:t>
            </w:r>
          </w:p>
          <w:p>
            <w:pPr>
              <w:numPr>
                <w:ilvl w:val="0"/>
                <w:numId w:val="6"/>
              </w:numPr>
              <w:spacing w:after="0"/>
              <w:ind w:left="720" w:hanging="360"/>
              <w:rPr>
                <w:rFonts w:ascii="Times New Roman" w:hAnsi="Times New Roman"/>
                <w:sz w:val="21"/>
                <w:szCs w:val="21"/>
              </w:rPr>
            </w:pPr>
            <w:r>
              <w:rPr>
                <w:rFonts w:ascii="Times New Roman" w:hAnsi="Times New Roman"/>
              </w:rPr>
              <w:t>Specify the alignment of QoE</w:t>
            </w:r>
            <w:r>
              <w:rPr>
                <w:rFonts w:ascii="Times New Roman" w:hAnsi="Times New Roman"/>
                <w:lang w:val="en-US"/>
              </w:rPr>
              <w:t xml:space="preserve"> measurements (including legacy QoE and RAN visible QoE measurements)</w:t>
            </w:r>
            <w:r>
              <w:rPr>
                <w:rFonts w:ascii="Times New Roman" w:hAnsi="Times New Roman"/>
              </w:rPr>
              <w:t xml:space="preserve"> and radio related measurement in NR-DC</w:t>
            </w:r>
            <w:r>
              <w:rPr>
                <w:rFonts w:ascii="Times New Roman" w:hAnsi="Times New Roman"/>
                <w:bCs/>
              </w:rPr>
              <w:t>.</w:t>
            </w:r>
          </w:p>
        </w:tc>
      </w:tr>
    </w:tbl>
    <w:p>
      <w:pPr>
        <w:rPr>
          <w:rStyle w:val="43"/>
          <w:rFonts w:ascii="Times New Roman" w:hAnsi="Times New Roman" w:eastAsia="等线"/>
          <w:sz w:val="21"/>
          <w:szCs w:val="21"/>
          <w:lang w:val="en-GB"/>
        </w:rPr>
      </w:pPr>
    </w:p>
    <w:p>
      <w:pPr>
        <w:rPr>
          <w:rStyle w:val="43"/>
          <w:rFonts w:ascii="Times New Roman" w:hAnsi="Times New Roman" w:eastAsia="等线"/>
          <w:sz w:val="21"/>
          <w:szCs w:val="21"/>
        </w:rPr>
      </w:pPr>
      <w:r>
        <w:rPr>
          <w:rStyle w:val="43"/>
          <w:rFonts w:ascii="Times New Roman" w:hAnsi="Times New Roman"/>
          <w:sz w:val="21"/>
          <w:szCs w:val="21"/>
          <w:lang w:val="en-GB"/>
        </w:rPr>
        <w:t xml:space="preserve">This paper further discusses how to configure </w:t>
      </w:r>
      <w:r>
        <w:rPr>
          <w:rStyle w:val="43"/>
          <w:rFonts w:ascii="Times New Roman" w:hAnsi="Times New Roman" w:eastAsia="等线"/>
          <w:sz w:val="21"/>
          <w:szCs w:val="21"/>
        </w:rPr>
        <w:t>the QoE measurement and RAN-Visible Qo</w:t>
      </w:r>
      <w:r>
        <w:rPr>
          <w:rStyle w:val="43"/>
          <w:rFonts w:hint="eastAsia" w:ascii="Times New Roman" w:hAnsi="Times New Roman" w:eastAsia="等线"/>
          <w:sz w:val="21"/>
          <w:szCs w:val="21"/>
        </w:rPr>
        <w:t>E</w:t>
      </w:r>
      <w:r>
        <w:rPr>
          <w:rStyle w:val="43"/>
          <w:rFonts w:ascii="Times New Roman" w:hAnsi="Times New Roman" w:eastAsia="等线"/>
          <w:sz w:val="21"/>
          <w:szCs w:val="21"/>
        </w:rPr>
        <w:t xml:space="preserve"> measurement in </w:t>
      </w:r>
      <w:r>
        <w:rPr>
          <w:rStyle w:val="43"/>
          <w:rFonts w:hint="eastAsia" w:ascii="Times New Roman" w:hAnsi="Times New Roman" w:eastAsia="等线"/>
          <w:sz w:val="21"/>
          <w:szCs w:val="21"/>
        </w:rPr>
        <w:t>NR-DC</w:t>
      </w:r>
      <w:r>
        <w:rPr>
          <w:rStyle w:val="43"/>
          <w:rFonts w:ascii="Times New Roman" w:hAnsi="Times New Roman" w:eastAsia="等线"/>
          <w:sz w:val="21"/>
          <w:szCs w:val="21"/>
        </w:rPr>
        <w:t xml:space="preserve"> based on the agreements </w:t>
      </w:r>
      <w:r>
        <w:rPr>
          <w:rStyle w:val="43"/>
          <w:rFonts w:hint="eastAsia" w:ascii="Times New Roman" w:hAnsi="Times New Roman" w:eastAsia="等线"/>
          <w:sz w:val="21"/>
          <w:szCs w:val="21"/>
        </w:rPr>
        <w:t>and FFS of the previous meetings</w:t>
      </w:r>
      <w:r>
        <w:rPr>
          <w:rFonts w:ascii="Times New Roman" w:hAnsi="Times New Roman" w:eastAsia="宋体"/>
          <w:sz w:val="21"/>
          <w:szCs w:val="21"/>
          <w:lang w:val="en-US"/>
        </w:rPr>
        <w:t>.</w:t>
      </w:r>
      <w:r>
        <w:rPr>
          <w:rFonts w:hint="eastAsia" w:ascii="Times New Roman" w:hAnsi="Times New Roman" w:eastAsia="宋体"/>
          <w:sz w:val="21"/>
          <w:szCs w:val="21"/>
          <w:lang w:val="en-US"/>
        </w:rPr>
        <w:t xml:space="preserve"> </w:t>
      </w:r>
    </w:p>
    <w:p>
      <w:pPr>
        <w:pStyle w:val="2"/>
        <w:rPr>
          <w:rFonts w:eastAsia="宋体"/>
        </w:rPr>
      </w:pPr>
      <w:r>
        <w:rPr>
          <w:rFonts w:eastAsia="宋体"/>
        </w:rPr>
        <w:t>Discussion</w:t>
      </w:r>
    </w:p>
    <w:p>
      <w:pPr>
        <w:pStyle w:val="3"/>
        <w:ind w:left="1134" w:hanging="1134"/>
        <w:rPr>
          <w:rFonts w:eastAsia="宋体" w:cs="Times New Roman"/>
          <w:sz w:val="24"/>
          <w:szCs w:val="20"/>
          <w:lang w:val="en-US"/>
        </w:rPr>
      </w:pPr>
      <w:r>
        <w:rPr>
          <w:rFonts w:hint="eastAsia" w:eastAsia="宋体" w:cs="Times New Roman"/>
          <w:sz w:val="24"/>
          <w:szCs w:val="20"/>
          <w:lang w:val="en-US"/>
        </w:rPr>
        <w:t xml:space="preserve"> QoE configuration in NR-DC </w:t>
      </w:r>
    </w:p>
    <w:p>
      <w:pPr>
        <w:rPr>
          <w:rFonts w:ascii="Times New Roman" w:hAnsi="Times New Roman" w:eastAsia="等线"/>
          <w:sz w:val="22"/>
          <w:szCs w:val="22"/>
          <w:lang w:val="en-US"/>
        </w:rPr>
      </w:pPr>
      <w:r>
        <w:rPr>
          <w:rFonts w:hint="eastAsia" w:ascii="Times New Roman" w:hAnsi="Times New Roman" w:eastAsia="等线"/>
          <w:sz w:val="22"/>
          <w:szCs w:val="22"/>
          <w:lang w:val="en-US"/>
        </w:rPr>
        <w:t>RAN3 had discussed about the signaling of the QMC coordination between MN and SN, there are two options:</w:t>
      </w:r>
    </w:p>
    <w:p>
      <w:pPr>
        <w:numPr>
          <w:ilvl w:val="0"/>
          <w:numId w:val="7"/>
        </w:numPr>
        <w:rPr>
          <w:rFonts w:ascii="Times New Roman" w:hAnsi="Times New Roman" w:eastAsia="等线"/>
          <w:sz w:val="22"/>
          <w:szCs w:val="22"/>
          <w:lang w:val="en-US"/>
        </w:rPr>
      </w:pPr>
      <w:r>
        <w:rPr>
          <w:rFonts w:hint="eastAsia" w:ascii="Times New Roman" w:hAnsi="Times New Roman" w:eastAsia="等线"/>
          <w:sz w:val="22"/>
          <w:szCs w:val="22"/>
          <w:lang w:val="en-US"/>
        </w:rPr>
        <w:t>UE associated signaling;</w:t>
      </w:r>
    </w:p>
    <w:p>
      <w:pPr>
        <w:numPr>
          <w:ilvl w:val="0"/>
          <w:numId w:val="7"/>
        </w:numPr>
        <w:rPr>
          <w:rFonts w:ascii="Times New Roman" w:hAnsi="Times New Roman" w:eastAsia="等线"/>
          <w:sz w:val="22"/>
          <w:szCs w:val="22"/>
          <w:lang w:val="en-US"/>
        </w:rPr>
      </w:pPr>
      <w:r>
        <w:rPr>
          <w:rFonts w:hint="eastAsia" w:ascii="Times New Roman" w:hAnsi="Times New Roman" w:eastAsia="等线"/>
          <w:sz w:val="22"/>
          <w:szCs w:val="22"/>
          <w:lang w:val="en-US"/>
        </w:rPr>
        <w:t>Non-UE associated signaling;</w:t>
      </w:r>
    </w:p>
    <w:p>
      <w:pPr>
        <w:rPr>
          <w:rFonts w:ascii="Times New Roman" w:hAnsi="Times New Roman" w:eastAsia="等线"/>
          <w:sz w:val="22"/>
          <w:szCs w:val="22"/>
          <w:lang w:val="en-US"/>
        </w:rPr>
      </w:pPr>
      <w:r>
        <w:rPr>
          <w:rFonts w:hint="eastAsia" w:ascii="Times New Roman" w:hAnsi="Times New Roman" w:eastAsia="等线"/>
          <w:sz w:val="22"/>
          <w:szCs w:val="22"/>
          <w:lang w:val="en-US"/>
        </w:rPr>
        <w:t>For case a), it is proposed that the SN should choose the UE when it received the m-based QMC, and use UE associated signaling to notify MN about the QMC configuration</w:t>
      </w:r>
      <w:r>
        <w:rPr>
          <w:rFonts w:ascii="Times New Roman" w:hAnsi="Times New Roman" w:eastAsia="等线"/>
          <w:sz w:val="22"/>
          <w:szCs w:val="22"/>
          <w:lang w:val="en-US"/>
        </w:rPr>
        <w:t>. Then</w:t>
      </w:r>
      <w:r>
        <w:rPr>
          <w:rFonts w:hint="eastAsia" w:ascii="Times New Roman" w:hAnsi="Times New Roman" w:eastAsia="等线"/>
          <w:sz w:val="22"/>
          <w:szCs w:val="22"/>
          <w:lang w:val="en-US"/>
        </w:rPr>
        <w:t xml:space="preserve"> the MN may send the final decision back to SN </w:t>
      </w:r>
      <w:r>
        <w:rPr>
          <w:rFonts w:ascii="Times New Roman" w:hAnsi="Times New Roman" w:eastAsia="等线"/>
          <w:sz w:val="22"/>
          <w:szCs w:val="22"/>
          <w:lang w:val="en-US"/>
        </w:rPr>
        <w:t>with</w:t>
      </w:r>
      <w:r>
        <w:rPr>
          <w:rFonts w:hint="eastAsia" w:ascii="Times New Roman" w:hAnsi="Times New Roman" w:eastAsia="等线"/>
          <w:sz w:val="22"/>
          <w:szCs w:val="22"/>
          <w:lang w:val="en-US"/>
        </w:rPr>
        <w:t xml:space="preserve"> the UE associated signaling.</w:t>
      </w:r>
    </w:p>
    <w:p>
      <w:pPr>
        <w:rPr>
          <w:rFonts w:ascii="Times New Roman" w:hAnsi="Times New Roman" w:eastAsia="等线"/>
          <w:sz w:val="22"/>
          <w:szCs w:val="22"/>
          <w:lang w:val="en-US"/>
        </w:rPr>
      </w:pPr>
      <w:r>
        <w:rPr>
          <w:rFonts w:hint="eastAsia" w:ascii="Times New Roman" w:hAnsi="Times New Roman" w:eastAsia="等线"/>
          <w:sz w:val="22"/>
          <w:szCs w:val="22"/>
          <w:lang w:val="en-US"/>
        </w:rPr>
        <w:t>For case b), it may use the non-UE associated signaling to send the list of UE which SN choose to send the QMC, but for NR-DC, it may be different MN and SN for different UE</w:t>
      </w:r>
      <w:r>
        <w:rPr>
          <w:rFonts w:ascii="Times New Roman" w:hAnsi="Times New Roman" w:eastAsia="等线"/>
          <w:sz w:val="22"/>
          <w:szCs w:val="22"/>
          <w:lang w:val="en-US"/>
        </w:rPr>
        <w:t>s</w:t>
      </w:r>
      <w:r>
        <w:rPr>
          <w:rFonts w:hint="eastAsia" w:ascii="Times New Roman" w:hAnsi="Times New Roman" w:eastAsia="等线"/>
          <w:sz w:val="22"/>
          <w:szCs w:val="22"/>
          <w:lang w:val="en-US"/>
        </w:rPr>
        <w:t xml:space="preserve"> </w:t>
      </w:r>
      <w:r>
        <w:rPr>
          <w:rFonts w:ascii="Times New Roman" w:hAnsi="Times New Roman" w:eastAsia="等线"/>
          <w:sz w:val="22"/>
          <w:szCs w:val="22"/>
          <w:lang w:val="en-US"/>
        </w:rPr>
        <w:t>with</w:t>
      </w:r>
      <w:r>
        <w:rPr>
          <w:rFonts w:hint="eastAsia" w:ascii="Times New Roman" w:hAnsi="Times New Roman" w:eastAsia="等线"/>
          <w:sz w:val="22"/>
          <w:szCs w:val="22"/>
          <w:lang w:val="en-US"/>
        </w:rPr>
        <w:t>in the same gNB, so it need to classify the different MN for the gNB which SN is belong to it and send the QMC configuration to different MN. It may need to introduce new XnAP messages to transfer the QMC coordination information between MN and SN. It is complicated than UE associated signaling.</w:t>
      </w:r>
    </w:p>
    <w:p>
      <w:pPr>
        <w:rPr>
          <w:rFonts w:ascii="Times New Roman" w:hAnsi="Times New Roman" w:eastAsia="等线"/>
          <w:b/>
          <w:bCs/>
          <w:sz w:val="22"/>
          <w:szCs w:val="22"/>
          <w:lang w:val="en-US"/>
        </w:rPr>
      </w:pPr>
      <w:r>
        <w:rPr>
          <w:rFonts w:hint="eastAsia" w:ascii="Times New Roman" w:hAnsi="Times New Roman" w:eastAsia="等线"/>
          <w:b/>
          <w:bCs/>
          <w:sz w:val="22"/>
          <w:szCs w:val="22"/>
          <w:lang w:val="en-US"/>
        </w:rPr>
        <w:t xml:space="preserve">Proposal 1: For MN and SN coordination, RAN3 should discuss whether to use UE associated signaling or Non-UE associated signaling, </w:t>
      </w:r>
      <w:r>
        <w:rPr>
          <w:rFonts w:ascii="Times New Roman" w:hAnsi="Times New Roman" w:eastAsia="等线"/>
          <w:b/>
          <w:bCs/>
          <w:sz w:val="22"/>
          <w:szCs w:val="22"/>
          <w:lang w:val="en-US"/>
        </w:rPr>
        <w:t>UE associated signaling solution is preferable with less spec impact.</w:t>
      </w:r>
    </w:p>
    <w:p>
      <w:pPr>
        <w:rPr>
          <w:rFonts w:ascii="Times New Roman" w:hAnsi="Times New Roman" w:eastAsia="等线"/>
          <w:b/>
          <w:bCs/>
          <w:sz w:val="22"/>
          <w:szCs w:val="22"/>
        </w:rPr>
      </w:pPr>
    </w:p>
    <w:p>
      <w:pPr>
        <w:pStyle w:val="3"/>
        <w:ind w:left="1134" w:hanging="1134"/>
        <w:rPr>
          <w:rFonts w:eastAsia="宋体" w:cs="Times New Roman"/>
          <w:sz w:val="24"/>
          <w:szCs w:val="20"/>
          <w:lang w:val="en-US"/>
        </w:rPr>
      </w:pPr>
      <w:r>
        <w:rPr>
          <w:rFonts w:hint="eastAsia" w:eastAsia="宋体" w:cs="Times New Roman"/>
          <w:sz w:val="24"/>
          <w:szCs w:val="20"/>
          <w:lang w:val="en-US"/>
        </w:rPr>
        <w:t xml:space="preserve">QoE reporting in NR-DC </w:t>
      </w:r>
    </w:p>
    <w:p>
      <w:pPr>
        <w:rPr>
          <w:rFonts w:ascii="Times New Roman" w:hAnsi="Times New Roman" w:eastAsia="等线"/>
          <w:bCs/>
          <w:sz w:val="22"/>
          <w:szCs w:val="22"/>
          <w:lang w:val="en-US"/>
        </w:rPr>
      </w:pPr>
      <w:r>
        <w:rPr>
          <w:rFonts w:ascii="Times New Roman" w:hAnsi="Times New Roman" w:eastAsia="等线"/>
          <w:bCs/>
          <w:sz w:val="22"/>
          <w:szCs w:val="22"/>
        </w:rPr>
        <w:t xml:space="preserve">Generally speaking, the node configured for QoE measurement will receive the corresponding QoE measurement report. But in RAN overload scenario, the configured node does not have enough resources to provide the UE reporting its QoE report, and another leg may </w:t>
      </w:r>
      <w:r>
        <w:rPr>
          <w:rFonts w:hint="eastAsia" w:ascii="Times New Roman" w:hAnsi="Times New Roman" w:eastAsia="等线"/>
          <w:bCs/>
          <w:sz w:val="22"/>
          <w:szCs w:val="22"/>
        </w:rPr>
        <w:t>resolve</w:t>
      </w:r>
      <w:r>
        <w:rPr>
          <w:rFonts w:ascii="Times New Roman" w:hAnsi="Times New Roman" w:eastAsia="等线"/>
          <w:bCs/>
          <w:sz w:val="22"/>
          <w:szCs w:val="22"/>
        </w:rPr>
        <w:t xml:space="preserve"> th</w:t>
      </w:r>
      <w:r>
        <w:rPr>
          <w:rFonts w:hint="eastAsia" w:ascii="Times New Roman" w:hAnsi="Times New Roman" w:eastAsia="等线"/>
          <w:bCs/>
          <w:sz w:val="22"/>
          <w:szCs w:val="22"/>
        </w:rPr>
        <w:t>is</w:t>
      </w:r>
      <w:r>
        <w:rPr>
          <w:rFonts w:ascii="Times New Roman" w:hAnsi="Times New Roman" w:eastAsia="等线"/>
          <w:bCs/>
          <w:sz w:val="22"/>
          <w:szCs w:val="22"/>
        </w:rPr>
        <w:t xml:space="preserve"> overload situation. The </w:t>
      </w:r>
      <w:r>
        <w:rPr>
          <w:rFonts w:ascii="Times New Roman" w:hAnsi="Times New Roman" w:eastAsia="等线"/>
          <w:bCs/>
          <w:sz w:val="22"/>
          <w:szCs w:val="22"/>
          <w:lang w:val="en-US"/>
        </w:rPr>
        <w:t>c</w:t>
      </w:r>
      <w:r>
        <w:rPr>
          <w:rFonts w:hint="eastAsia" w:ascii="Times New Roman" w:hAnsi="Times New Roman" w:eastAsia="等线"/>
          <w:bCs/>
          <w:sz w:val="22"/>
          <w:szCs w:val="22"/>
          <w:lang w:val="en-US"/>
        </w:rPr>
        <w:t>oordination</w:t>
      </w:r>
      <w:r>
        <w:rPr>
          <w:rFonts w:ascii="Times New Roman" w:hAnsi="Times New Roman" w:eastAsia="等线"/>
          <w:bCs/>
          <w:sz w:val="22"/>
          <w:szCs w:val="22"/>
          <w:lang w:val="en-US"/>
        </w:rPr>
        <w:t xml:space="preserve"> mechanism between</w:t>
      </w:r>
      <w:r>
        <w:rPr>
          <w:rFonts w:hint="eastAsia" w:ascii="Times New Roman" w:hAnsi="Times New Roman" w:eastAsia="等线"/>
          <w:bCs/>
          <w:sz w:val="22"/>
          <w:szCs w:val="22"/>
          <w:lang w:val="en-US"/>
        </w:rPr>
        <w:t xml:space="preserve"> MN and SN </w:t>
      </w:r>
      <w:r>
        <w:rPr>
          <w:rFonts w:ascii="Times New Roman" w:hAnsi="Times New Roman" w:eastAsia="等线"/>
          <w:bCs/>
          <w:sz w:val="22"/>
          <w:szCs w:val="22"/>
          <w:lang w:val="en-US"/>
        </w:rPr>
        <w:t>is</w:t>
      </w:r>
      <w:r>
        <w:rPr>
          <w:rFonts w:hint="eastAsia" w:ascii="Times New Roman" w:hAnsi="Times New Roman" w:eastAsia="等线"/>
          <w:bCs/>
          <w:sz w:val="22"/>
          <w:szCs w:val="22"/>
          <w:lang w:val="en-US"/>
        </w:rPr>
        <w:t xml:space="preserve"> needed for </w:t>
      </w:r>
      <w:r>
        <w:rPr>
          <w:rFonts w:ascii="Times New Roman" w:hAnsi="Times New Roman" w:eastAsia="等线"/>
          <w:bCs/>
          <w:sz w:val="22"/>
          <w:szCs w:val="22"/>
          <w:lang w:val="en-US"/>
        </w:rPr>
        <w:t>how</w:t>
      </w:r>
      <w:r>
        <w:rPr>
          <w:rFonts w:hint="eastAsia" w:ascii="Times New Roman" w:hAnsi="Times New Roman" w:eastAsia="等线"/>
          <w:bCs/>
          <w:sz w:val="22"/>
          <w:szCs w:val="22"/>
          <w:lang w:val="en-US"/>
        </w:rPr>
        <w:t xml:space="preserve"> to decide </w:t>
      </w:r>
      <w:r>
        <w:rPr>
          <w:rFonts w:ascii="Times New Roman" w:hAnsi="Times New Roman" w:eastAsia="等线"/>
          <w:bCs/>
          <w:sz w:val="22"/>
          <w:szCs w:val="22"/>
          <w:lang w:val="en-US"/>
        </w:rPr>
        <w:t>the</w:t>
      </w:r>
      <w:r>
        <w:rPr>
          <w:rFonts w:hint="eastAsia" w:ascii="Times New Roman" w:hAnsi="Times New Roman" w:eastAsia="等线"/>
          <w:bCs/>
          <w:sz w:val="22"/>
          <w:szCs w:val="22"/>
          <w:lang w:val="en-US"/>
        </w:rPr>
        <w:t xml:space="preserve"> node to receive the QoE report</w:t>
      </w:r>
      <w:r>
        <w:rPr>
          <w:rFonts w:ascii="Times New Roman" w:hAnsi="Times New Roman" w:eastAsia="等线"/>
          <w:bCs/>
          <w:sz w:val="22"/>
          <w:szCs w:val="22"/>
          <w:lang w:val="en-US"/>
        </w:rPr>
        <w:t>. Considering the NR-DC, one</w:t>
      </w:r>
      <w:r>
        <w:rPr>
          <w:rFonts w:hint="eastAsia" w:ascii="Times New Roman" w:hAnsi="Times New Roman" w:eastAsia="等线"/>
          <w:bCs/>
          <w:sz w:val="22"/>
          <w:szCs w:val="22"/>
          <w:lang w:val="en-US"/>
        </w:rPr>
        <w:t xml:space="preserve"> </w:t>
      </w:r>
      <w:r>
        <w:rPr>
          <w:rFonts w:ascii="Times New Roman" w:hAnsi="Times New Roman" w:eastAsia="等线"/>
          <w:bCs/>
          <w:sz w:val="22"/>
          <w:szCs w:val="22"/>
          <w:lang w:val="en-US"/>
        </w:rPr>
        <w:t>simple</w:t>
      </w:r>
      <w:r>
        <w:rPr>
          <w:rFonts w:hint="eastAsia" w:ascii="Times New Roman" w:hAnsi="Times New Roman" w:eastAsia="等线"/>
          <w:bCs/>
          <w:sz w:val="22"/>
          <w:szCs w:val="22"/>
          <w:lang w:val="en-US"/>
        </w:rPr>
        <w:t xml:space="preserve"> </w:t>
      </w:r>
      <w:r>
        <w:rPr>
          <w:rFonts w:ascii="Times New Roman" w:hAnsi="Times New Roman" w:eastAsia="等线"/>
          <w:bCs/>
          <w:sz w:val="22"/>
          <w:szCs w:val="22"/>
          <w:lang w:val="en-US"/>
        </w:rPr>
        <w:t xml:space="preserve">solution is the </w:t>
      </w:r>
      <w:r>
        <w:rPr>
          <w:rFonts w:hint="eastAsia" w:ascii="Times New Roman" w:hAnsi="Times New Roman" w:eastAsia="等线"/>
          <w:bCs/>
          <w:sz w:val="22"/>
          <w:szCs w:val="22"/>
          <w:lang w:val="en-US"/>
        </w:rPr>
        <w:t xml:space="preserve">MN </w:t>
      </w:r>
      <w:r>
        <w:rPr>
          <w:rFonts w:ascii="Times New Roman" w:hAnsi="Times New Roman" w:eastAsia="等线"/>
          <w:bCs/>
          <w:sz w:val="22"/>
          <w:szCs w:val="22"/>
          <w:lang w:val="en-US"/>
        </w:rPr>
        <w:t xml:space="preserve">node </w:t>
      </w:r>
      <w:r>
        <w:rPr>
          <w:rFonts w:hint="eastAsia" w:ascii="Times New Roman" w:hAnsi="Times New Roman" w:eastAsia="等线"/>
          <w:bCs/>
          <w:sz w:val="22"/>
          <w:szCs w:val="22"/>
          <w:lang w:val="en-US"/>
        </w:rPr>
        <w:t xml:space="preserve">to command </w:t>
      </w:r>
      <w:r>
        <w:rPr>
          <w:rFonts w:ascii="Times New Roman" w:hAnsi="Times New Roman" w:eastAsia="等线"/>
          <w:bCs/>
          <w:sz w:val="22"/>
          <w:szCs w:val="22"/>
          <w:lang w:val="en-US"/>
        </w:rPr>
        <w:t>or request</w:t>
      </w:r>
      <w:r>
        <w:rPr>
          <w:rFonts w:hint="eastAsia" w:ascii="Times New Roman" w:hAnsi="Times New Roman" w:eastAsia="等线"/>
          <w:bCs/>
          <w:sz w:val="22"/>
          <w:szCs w:val="22"/>
          <w:lang w:val="en-US"/>
        </w:rPr>
        <w:t xml:space="preserve"> the UE to switch the reporting leg </w:t>
      </w:r>
      <w:r>
        <w:rPr>
          <w:rFonts w:ascii="Times New Roman" w:hAnsi="Times New Roman" w:eastAsia="等线"/>
          <w:bCs/>
          <w:sz w:val="22"/>
          <w:szCs w:val="22"/>
          <w:lang w:val="en-US"/>
        </w:rPr>
        <w:t>and this information</w:t>
      </w:r>
      <w:r>
        <w:rPr>
          <w:rFonts w:hint="eastAsia" w:ascii="Times New Roman" w:hAnsi="Times New Roman" w:eastAsia="等线"/>
          <w:bCs/>
          <w:sz w:val="22"/>
          <w:szCs w:val="22"/>
          <w:lang w:val="en-US"/>
        </w:rPr>
        <w:t xml:space="preserve"> can be sen</w:t>
      </w:r>
      <w:r>
        <w:rPr>
          <w:rFonts w:ascii="Times New Roman" w:hAnsi="Times New Roman" w:eastAsia="等线"/>
          <w:bCs/>
          <w:sz w:val="22"/>
          <w:szCs w:val="22"/>
          <w:lang w:val="en-US"/>
        </w:rPr>
        <w:t>t</w:t>
      </w:r>
      <w:r>
        <w:rPr>
          <w:rFonts w:hint="eastAsia" w:ascii="Times New Roman" w:hAnsi="Times New Roman" w:eastAsia="等线"/>
          <w:bCs/>
          <w:sz w:val="22"/>
          <w:szCs w:val="22"/>
          <w:lang w:val="en-US"/>
        </w:rPr>
        <w:t xml:space="preserve"> along with the QoE configuration.</w:t>
      </w:r>
    </w:p>
    <w:p>
      <w:pPr>
        <w:rPr>
          <w:rFonts w:ascii="Times New Roman" w:hAnsi="Times New Roman" w:eastAsia="等线"/>
          <w:bCs/>
          <w:sz w:val="22"/>
          <w:szCs w:val="22"/>
        </w:rPr>
      </w:pPr>
      <w:r>
        <w:rPr>
          <w:rFonts w:hint="eastAsia" w:ascii="Times New Roman" w:hAnsi="Times New Roman" w:eastAsia="等线"/>
          <w:b/>
          <w:sz w:val="22"/>
          <w:szCs w:val="22"/>
          <w:lang w:val="en-US"/>
        </w:rPr>
        <w:t>Proposal 2:</w:t>
      </w:r>
      <w:r>
        <w:rPr>
          <w:rFonts w:ascii="Times New Roman" w:hAnsi="Times New Roman" w:eastAsia="等线"/>
          <w:b/>
          <w:sz w:val="22"/>
          <w:szCs w:val="22"/>
          <w:lang w:val="en-US"/>
        </w:rPr>
        <w:t xml:space="preserve"> </w:t>
      </w:r>
      <w:r>
        <w:rPr>
          <w:rFonts w:ascii="Times New Roman" w:hAnsi="Times New Roman" w:eastAsia="等线"/>
          <w:b/>
          <w:bCs/>
          <w:sz w:val="22"/>
          <w:szCs w:val="22"/>
          <w:lang w:val="en-US"/>
        </w:rPr>
        <w:t xml:space="preserve">For RAN overload scenario, </w:t>
      </w:r>
      <w:r>
        <w:rPr>
          <w:rFonts w:hint="eastAsia" w:ascii="Times New Roman" w:hAnsi="Times New Roman" w:eastAsia="等线"/>
          <w:b/>
          <w:bCs/>
          <w:sz w:val="22"/>
          <w:szCs w:val="22"/>
          <w:lang w:val="en-US"/>
        </w:rPr>
        <w:t>it is preferred</w:t>
      </w:r>
      <w:r>
        <w:rPr>
          <w:rFonts w:ascii="Times New Roman" w:hAnsi="Times New Roman" w:eastAsia="等线"/>
          <w:b/>
          <w:bCs/>
          <w:sz w:val="22"/>
          <w:szCs w:val="22"/>
          <w:lang w:val="en-US"/>
        </w:rPr>
        <w:t xml:space="preserve"> </w:t>
      </w:r>
      <w:r>
        <w:rPr>
          <w:rFonts w:hint="eastAsia" w:ascii="Times New Roman" w:hAnsi="Times New Roman" w:eastAsia="等线"/>
          <w:b/>
          <w:bCs/>
          <w:sz w:val="22"/>
          <w:szCs w:val="22"/>
          <w:lang w:val="en-US"/>
        </w:rPr>
        <w:t>for MN to command the UE to switch the reporting leg</w:t>
      </w:r>
      <w:r>
        <w:rPr>
          <w:rFonts w:ascii="Times New Roman" w:hAnsi="Times New Roman" w:eastAsia="等线"/>
          <w:b/>
          <w:bCs/>
          <w:sz w:val="22"/>
          <w:szCs w:val="22"/>
          <w:lang w:val="en-US"/>
        </w:rPr>
        <w:t>.</w:t>
      </w:r>
    </w:p>
    <w:p>
      <w:pPr>
        <w:rPr>
          <w:rFonts w:ascii="Times New Roman" w:hAnsi="Times New Roman" w:eastAsia="等线"/>
          <w:bCs/>
          <w:sz w:val="22"/>
          <w:szCs w:val="22"/>
        </w:rPr>
      </w:pPr>
      <w:r>
        <w:rPr>
          <w:rFonts w:ascii="Times New Roman" w:hAnsi="Times New Roman" w:eastAsia="等线"/>
          <w:bCs/>
          <w:sz w:val="22"/>
          <w:szCs w:val="22"/>
        </w:rPr>
        <w:t xml:space="preserve"> </w:t>
      </w:r>
    </w:p>
    <w:p>
      <w:pPr>
        <w:pStyle w:val="3"/>
        <w:ind w:left="1134" w:hanging="1134"/>
        <w:rPr>
          <w:rFonts w:eastAsia="宋体" w:cs="Times New Roman"/>
          <w:sz w:val="24"/>
          <w:szCs w:val="20"/>
          <w:lang w:val="en-US"/>
        </w:rPr>
      </w:pPr>
      <w:r>
        <w:rPr>
          <w:rFonts w:hint="eastAsia" w:eastAsia="宋体" w:cs="Times New Roman"/>
          <w:sz w:val="24"/>
          <w:szCs w:val="20"/>
          <w:lang w:val="en-US"/>
        </w:rPr>
        <w:t xml:space="preserve"> RAN visible QoE configuration in NR-DC </w:t>
      </w:r>
    </w:p>
    <w:p>
      <w:pPr>
        <w:rPr>
          <w:rFonts w:ascii="Times New Roman" w:hAnsi="Times New Roman" w:eastAsia="等线"/>
          <w:bCs/>
          <w:sz w:val="22"/>
          <w:szCs w:val="22"/>
          <w:lang w:val="en-US"/>
        </w:rPr>
      </w:pPr>
      <w:r>
        <w:rPr>
          <w:rFonts w:hint="eastAsia" w:ascii="Times New Roman" w:hAnsi="Times New Roman" w:eastAsia="等线"/>
          <w:bCs/>
          <w:sz w:val="22"/>
          <w:szCs w:val="22"/>
          <w:lang w:val="en-US"/>
        </w:rPr>
        <w:t>In R17, RAN visible QoE is configured with separate periodicity, and will not be paused even though the corresponding non RAN visible application layer measurement reporting is paused. RAN visible QoE is configured by the gNB according to the gNB</w:t>
      </w:r>
      <w:r>
        <w:rPr>
          <w:rFonts w:ascii="Times New Roman" w:hAnsi="Times New Roman" w:eastAsia="等线"/>
          <w:bCs/>
          <w:sz w:val="22"/>
          <w:szCs w:val="22"/>
          <w:lang w:val="en-US"/>
        </w:rPr>
        <w:t>’</w:t>
      </w:r>
      <w:r>
        <w:rPr>
          <w:rFonts w:hint="eastAsia" w:ascii="Times New Roman" w:hAnsi="Times New Roman" w:eastAsia="等线"/>
          <w:bCs/>
          <w:sz w:val="22"/>
          <w:szCs w:val="22"/>
          <w:lang w:val="en-US"/>
        </w:rPr>
        <w:t>s requirements, in RAN3#117bise meeting, it has the following agreement:</w:t>
      </w:r>
    </w:p>
    <w:p>
      <w:pPr>
        <w:spacing w:after="0"/>
        <w:contextualSpacing/>
        <w:rPr>
          <w:rFonts w:ascii="Calibri" w:hAnsi="Calibri" w:cs="Calibri"/>
          <w:i/>
          <w:iCs/>
          <w:color w:val="00B050"/>
          <w:kern w:val="2"/>
          <w:sz w:val="22"/>
          <w:szCs w:val="22"/>
        </w:rPr>
      </w:pPr>
      <w:r>
        <w:rPr>
          <w:rFonts w:ascii="Calibri" w:hAnsi="Calibri" w:cs="Calibri"/>
          <w:i/>
          <w:iCs/>
          <w:color w:val="00B050"/>
          <w:kern w:val="2"/>
          <w:sz w:val="22"/>
          <w:szCs w:val="22"/>
        </w:rPr>
        <w:t>Proposal 5a: The MN can generate an RVQoE configuration for a UE.</w:t>
      </w:r>
    </w:p>
    <w:p>
      <w:pPr>
        <w:spacing w:after="0"/>
        <w:contextualSpacing/>
        <w:rPr>
          <w:rFonts w:ascii="Calibri" w:hAnsi="Calibri" w:cs="Calibri"/>
          <w:i/>
          <w:iCs/>
          <w:color w:val="00B050"/>
          <w:kern w:val="2"/>
          <w:sz w:val="22"/>
          <w:szCs w:val="22"/>
        </w:rPr>
      </w:pPr>
      <w:r>
        <w:rPr>
          <w:rFonts w:ascii="Calibri" w:hAnsi="Calibri" w:cs="Calibri"/>
          <w:i/>
          <w:iCs/>
          <w:color w:val="00B050"/>
          <w:kern w:val="2"/>
          <w:sz w:val="22"/>
          <w:szCs w:val="22"/>
        </w:rPr>
        <w:t>Proposal 5b: The SN can generate an RVQoE configuration for a UE. FFS whether MN can modify the SN generated RVQoE configuration</w:t>
      </w:r>
    </w:p>
    <w:p>
      <w:pPr>
        <w:spacing w:after="0"/>
        <w:contextualSpacing/>
        <w:rPr>
          <w:rFonts w:ascii="Calibri" w:hAnsi="Calibri" w:cs="Calibri"/>
          <w:i/>
          <w:iCs/>
          <w:color w:val="00B050"/>
          <w:kern w:val="2"/>
          <w:sz w:val="22"/>
          <w:szCs w:val="22"/>
        </w:rPr>
      </w:pPr>
      <w:r>
        <w:rPr>
          <w:rFonts w:ascii="Calibri" w:hAnsi="Calibri" w:cs="Calibri"/>
          <w:i/>
          <w:iCs/>
          <w:color w:val="00B050"/>
          <w:kern w:val="2"/>
          <w:sz w:val="22"/>
          <w:szCs w:val="22"/>
        </w:rPr>
        <w:t>Proposal 6a: The MN can send an RVQoE configuration to the UE.</w:t>
      </w:r>
    </w:p>
    <w:p>
      <w:pPr>
        <w:spacing w:after="0"/>
        <w:contextualSpacing/>
        <w:rPr>
          <w:rFonts w:ascii="Calibri" w:hAnsi="Calibri" w:cs="Calibri"/>
          <w:i/>
          <w:iCs/>
          <w:color w:val="00B050"/>
          <w:kern w:val="2"/>
          <w:sz w:val="22"/>
          <w:szCs w:val="22"/>
        </w:rPr>
      </w:pPr>
    </w:p>
    <w:p>
      <w:pPr>
        <w:rPr>
          <w:rFonts w:ascii="Times New Roman" w:hAnsi="Times New Roman" w:eastAsia="等线"/>
          <w:bCs/>
          <w:sz w:val="22"/>
          <w:szCs w:val="22"/>
          <w:lang w:val="en-US"/>
        </w:rPr>
      </w:pPr>
      <w:r>
        <w:rPr>
          <w:rFonts w:hint="eastAsia" w:ascii="Times New Roman" w:hAnsi="Times New Roman" w:eastAsia="等线"/>
          <w:bCs/>
          <w:sz w:val="22"/>
          <w:szCs w:val="22"/>
          <w:lang w:val="en-US"/>
        </w:rPr>
        <w:t>RAN3 has already agreed that both the MN and SN can generate RVQoE configuration, and it is no need for MN to modify the SN generated RVQoE configuration. MN and SN may have different requirements for RVQoE, e.g. MN and SN may interest with different RVQoE metrics since they may have different algorithm (different gNB vendor), MN and SN may need to configure the RVQoE in different time with different periodicity, therefore, MN and SN shall generate RVQoE configuration separately according to their own requirements in any time after the encapsulated QoE configuration is configured.</w:t>
      </w:r>
    </w:p>
    <w:p>
      <w:pPr>
        <w:rPr>
          <w:rFonts w:ascii="Times New Roman" w:hAnsi="Times New Roman" w:eastAsia="等线"/>
          <w:b/>
          <w:sz w:val="22"/>
          <w:szCs w:val="22"/>
          <w:lang w:val="en-US"/>
        </w:rPr>
      </w:pPr>
      <w:r>
        <w:rPr>
          <w:rFonts w:hint="eastAsia" w:ascii="Times New Roman" w:hAnsi="Times New Roman" w:eastAsia="等线"/>
          <w:b/>
          <w:sz w:val="22"/>
          <w:szCs w:val="22"/>
          <w:lang w:val="en-US"/>
        </w:rPr>
        <w:t xml:space="preserve">Proposal 3: MN and SN can generate </w:t>
      </w:r>
      <w:r>
        <w:rPr>
          <w:rFonts w:ascii="Times New Roman" w:hAnsi="Times New Roman" w:eastAsia="等线"/>
          <w:b/>
          <w:sz w:val="22"/>
          <w:szCs w:val="22"/>
          <w:lang w:val="en-US"/>
        </w:rPr>
        <w:t>the</w:t>
      </w:r>
      <w:r>
        <w:rPr>
          <w:rFonts w:hint="eastAsia" w:ascii="Times New Roman" w:hAnsi="Times New Roman" w:eastAsia="等线"/>
          <w:b/>
          <w:sz w:val="22"/>
          <w:szCs w:val="22"/>
          <w:lang w:val="en-US"/>
        </w:rPr>
        <w:t xml:space="preserve"> RVQoE configuration</w:t>
      </w:r>
      <w:r>
        <w:rPr>
          <w:rFonts w:ascii="Times New Roman" w:hAnsi="Times New Roman" w:eastAsia="等线"/>
          <w:b/>
          <w:sz w:val="22"/>
          <w:szCs w:val="22"/>
          <w:lang w:val="en-US"/>
        </w:rPr>
        <w:t>s independently</w:t>
      </w:r>
      <w:r>
        <w:rPr>
          <w:rFonts w:hint="eastAsia" w:ascii="Times New Roman" w:hAnsi="Times New Roman" w:eastAsia="等线"/>
          <w:b/>
          <w:sz w:val="22"/>
          <w:szCs w:val="22"/>
          <w:lang w:val="en-US"/>
        </w:rPr>
        <w:t>, and MN can</w:t>
      </w:r>
      <w:r>
        <w:rPr>
          <w:rFonts w:ascii="Times New Roman" w:hAnsi="Times New Roman" w:eastAsia="等线"/>
          <w:b/>
          <w:sz w:val="22"/>
          <w:szCs w:val="22"/>
          <w:lang w:val="en-US"/>
        </w:rPr>
        <w:t>’</w:t>
      </w:r>
      <w:r>
        <w:rPr>
          <w:rFonts w:hint="eastAsia" w:ascii="Times New Roman" w:hAnsi="Times New Roman" w:eastAsia="等线"/>
          <w:b/>
          <w:sz w:val="22"/>
          <w:szCs w:val="22"/>
          <w:lang w:val="en-US"/>
        </w:rPr>
        <w:t>t modify the SN generated RVQoE configuration.</w:t>
      </w:r>
    </w:p>
    <w:p>
      <w:pPr>
        <w:rPr>
          <w:rFonts w:ascii="Times New Roman" w:hAnsi="Times New Roman" w:eastAsia="等线"/>
          <w:b/>
          <w:sz w:val="22"/>
          <w:szCs w:val="22"/>
          <w:lang w:val="en-US"/>
        </w:rPr>
      </w:pPr>
    </w:p>
    <w:p>
      <w:pPr>
        <w:rPr>
          <w:rFonts w:ascii="Times New Roman" w:hAnsi="Times New Roman" w:eastAsia="等线"/>
          <w:bCs/>
          <w:sz w:val="22"/>
          <w:szCs w:val="22"/>
          <w:lang w:val="en-US"/>
        </w:rPr>
      </w:pPr>
      <w:r>
        <w:rPr>
          <w:rFonts w:hint="eastAsia" w:ascii="Times New Roman" w:hAnsi="Times New Roman" w:eastAsia="等线"/>
          <w:bCs/>
          <w:sz w:val="22"/>
          <w:szCs w:val="22"/>
          <w:lang w:val="en-US"/>
        </w:rPr>
        <w:t>In Rel-17, the RVQoE configuration is configured according the available RVQoE metrics send</w:t>
      </w:r>
      <w:r>
        <w:rPr>
          <w:rFonts w:ascii="Times New Roman" w:hAnsi="Times New Roman" w:eastAsia="等线"/>
          <w:bCs/>
          <w:sz w:val="22"/>
          <w:szCs w:val="22"/>
          <w:lang w:val="en-US"/>
        </w:rPr>
        <w:t>ing</w:t>
      </w:r>
      <w:r>
        <w:rPr>
          <w:rFonts w:hint="eastAsia" w:ascii="Times New Roman" w:hAnsi="Times New Roman" w:eastAsia="等线"/>
          <w:bCs/>
          <w:sz w:val="22"/>
          <w:szCs w:val="22"/>
          <w:lang w:val="en-US"/>
        </w:rPr>
        <w:t xml:space="preserve"> from OAM/AMF, for NR-DC scenario, both the MN and SN need to generate the RVQoE configurations, so the available  RVQoE metrics should be send to the other node during the RVQoE configuration coordination.</w:t>
      </w:r>
    </w:p>
    <w:p>
      <w:pPr>
        <w:rPr>
          <w:rFonts w:ascii="Times New Roman" w:hAnsi="Times New Roman" w:eastAsia="等线"/>
          <w:b/>
          <w:sz w:val="22"/>
          <w:szCs w:val="22"/>
          <w:lang w:val="en-US"/>
        </w:rPr>
      </w:pPr>
      <w:r>
        <w:rPr>
          <w:rFonts w:hint="eastAsia" w:ascii="Times New Roman" w:hAnsi="Times New Roman" w:eastAsia="等线"/>
          <w:b/>
          <w:sz w:val="22"/>
          <w:szCs w:val="22"/>
          <w:lang w:val="en-US"/>
        </w:rPr>
        <w:t>Proposal 4: The node that received the QoE configuration from the AMF/OAM can send to the other node the list of available RVQoE metrics during RVQoE configuration coordination.</w:t>
      </w:r>
    </w:p>
    <w:p>
      <w:pPr>
        <w:rPr>
          <w:rFonts w:ascii="Times New Roman" w:hAnsi="Times New Roman" w:eastAsia="等线"/>
          <w:b/>
          <w:sz w:val="22"/>
          <w:szCs w:val="22"/>
          <w:lang w:val="en-US"/>
        </w:rPr>
      </w:pPr>
    </w:p>
    <w:p>
      <w:pPr>
        <w:rPr>
          <w:rFonts w:ascii="Times New Roman" w:hAnsi="Times New Roman" w:eastAsia="等线"/>
          <w:bCs/>
          <w:sz w:val="22"/>
          <w:szCs w:val="22"/>
          <w:lang w:val="en-US"/>
        </w:rPr>
      </w:pPr>
      <w:r>
        <w:rPr>
          <w:rFonts w:hint="eastAsia" w:ascii="Times New Roman" w:hAnsi="Times New Roman" w:eastAsia="等线"/>
          <w:bCs/>
          <w:sz w:val="22"/>
          <w:szCs w:val="22"/>
          <w:lang w:val="en-US"/>
        </w:rPr>
        <w:t>In last meeting, there has the following FFS:</w:t>
      </w:r>
    </w:p>
    <w:p>
      <w:pPr>
        <w:rPr>
          <w:rFonts w:ascii="Calibri" w:hAnsi="Calibri" w:eastAsia="MS Mincho" w:cs="Calibri"/>
          <w:i/>
          <w:color w:val="FF0000"/>
          <w:sz w:val="22"/>
          <w:szCs w:val="22"/>
          <w:lang w:eastAsia="en-US"/>
        </w:rPr>
      </w:pPr>
      <w:r>
        <w:rPr>
          <w:rFonts w:ascii="Calibri" w:hAnsi="Calibri" w:eastAsia="MS Mincho" w:cs="Calibri"/>
          <w:i/>
          <w:color w:val="FF0000"/>
          <w:sz w:val="22"/>
          <w:szCs w:val="22"/>
          <w:lang w:eastAsia="en-US"/>
        </w:rPr>
        <w:t>The node which sends the initial RVQoE configuration to UE and the node which sends the legacy QoE configuration to UE should be the same?</w:t>
      </w:r>
    </w:p>
    <w:p>
      <w:pPr>
        <w:rPr>
          <w:rFonts w:ascii="Times New Roman" w:hAnsi="Times New Roman" w:eastAsia="宋体"/>
          <w:bCs/>
          <w:sz w:val="22"/>
          <w:szCs w:val="22"/>
          <w:lang w:val="en-US"/>
        </w:rPr>
      </w:pPr>
    </w:p>
    <w:p>
      <w:pPr>
        <w:rPr>
          <w:rFonts w:ascii="Times New Roman" w:hAnsi="Times New Roman" w:eastAsia="等线"/>
          <w:bCs/>
          <w:sz w:val="22"/>
          <w:szCs w:val="22"/>
          <w:lang w:val="en-US"/>
        </w:rPr>
      </w:pPr>
      <w:r>
        <w:rPr>
          <w:rFonts w:hint="eastAsia" w:ascii="Times New Roman" w:hAnsi="Times New Roman" w:eastAsia="等线"/>
          <w:bCs/>
          <w:sz w:val="22"/>
          <w:szCs w:val="22"/>
          <w:lang w:val="en-US"/>
        </w:rPr>
        <w:t>Since RVQoE configuration is not always send the same time with legacy QoE configuration, it is no need to send the RVQoE configuration the same node with legacy QoE configuration. It is more flexible to send the RVQoE configuration and legacy QoE configuration independently.</w:t>
      </w:r>
    </w:p>
    <w:p>
      <w:pPr>
        <w:rPr>
          <w:rFonts w:ascii="Times New Roman" w:hAnsi="Times New Roman" w:eastAsia="等线"/>
          <w:b/>
          <w:sz w:val="22"/>
          <w:szCs w:val="22"/>
          <w:lang w:val="en-US"/>
        </w:rPr>
      </w:pPr>
      <w:r>
        <w:rPr>
          <w:rFonts w:hint="eastAsia" w:ascii="Times New Roman" w:hAnsi="Times New Roman" w:eastAsia="等线"/>
          <w:b/>
          <w:sz w:val="22"/>
          <w:szCs w:val="22"/>
          <w:lang w:val="en-US"/>
        </w:rPr>
        <w:t>Proposal 5: RVQoE configuration and legacy QoE configuration can be send to UE independently.</w:t>
      </w:r>
    </w:p>
    <w:p>
      <w:pPr>
        <w:rPr>
          <w:rFonts w:ascii="Times New Roman" w:hAnsi="Times New Roman" w:eastAsia="等线"/>
          <w:b/>
          <w:sz w:val="22"/>
          <w:szCs w:val="22"/>
          <w:lang w:val="en-US"/>
        </w:rPr>
      </w:pPr>
    </w:p>
    <w:p>
      <w:pPr>
        <w:pStyle w:val="3"/>
        <w:ind w:left="1134" w:hanging="1134"/>
        <w:rPr>
          <w:rFonts w:eastAsia="宋体" w:cs="Times New Roman"/>
          <w:sz w:val="24"/>
          <w:szCs w:val="20"/>
          <w:lang w:val="en-US"/>
        </w:rPr>
      </w:pPr>
      <w:r>
        <w:rPr>
          <w:rFonts w:hint="eastAsia" w:eastAsia="宋体" w:cs="Times New Roman"/>
          <w:sz w:val="24"/>
          <w:szCs w:val="20"/>
          <w:lang w:val="en-US"/>
        </w:rPr>
        <w:t xml:space="preserve"> RAN visible QoE reporting in NR-DC </w:t>
      </w:r>
    </w:p>
    <w:p>
      <w:pPr>
        <w:rPr>
          <w:rFonts w:ascii="Times New Roman" w:hAnsi="Times New Roman" w:eastAsia="等线"/>
          <w:bCs/>
          <w:sz w:val="22"/>
          <w:szCs w:val="22"/>
          <w:lang w:val="en-US"/>
        </w:rPr>
      </w:pPr>
      <w:r>
        <w:rPr>
          <w:rFonts w:hint="eastAsia" w:ascii="Times New Roman" w:hAnsi="Times New Roman" w:eastAsia="等线"/>
          <w:bCs/>
          <w:sz w:val="22"/>
          <w:szCs w:val="22"/>
          <w:lang w:val="en-US"/>
        </w:rPr>
        <w:t>In RAN3#117bise meeting, it has the following agreement:</w:t>
      </w:r>
    </w:p>
    <w:p>
      <w:pPr>
        <w:contextualSpacing/>
        <w:rPr>
          <w:rFonts w:ascii="Calibri" w:hAnsi="Calibri" w:cs="Calibri"/>
          <w:i/>
          <w:iCs/>
          <w:color w:val="00B050"/>
          <w:kern w:val="2"/>
          <w:sz w:val="22"/>
          <w:szCs w:val="22"/>
        </w:rPr>
      </w:pPr>
      <w:r>
        <w:rPr>
          <w:rFonts w:ascii="Calibri" w:hAnsi="Calibri" w:cs="Calibri"/>
          <w:i/>
          <w:iCs/>
          <w:color w:val="00B050"/>
          <w:kern w:val="2"/>
          <w:sz w:val="22"/>
          <w:szCs w:val="22"/>
        </w:rPr>
        <w:t>The MN can receive RVQoE reports directly from the UE.</w:t>
      </w:r>
    </w:p>
    <w:p>
      <w:pPr>
        <w:contextualSpacing/>
        <w:rPr>
          <w:rFonts w:ascii="Calibri" w:hAnsi="Calibri" w:cs="Calibri"/>
          <w:i/>
          <w:iCs/>
          <w:color w:val="00B050"/>
          <w:kern w:val="2"/>
          <w:sz w:val="22"/>
          <w:szCs w:val="22"/>
        </w:rPr>
      </w:pPr>
      <w:r>
        <w:rPr>
          <w:rFonts w:ascii="Calibri" w:hAnsi="Calibri" w:cs="Calibri"/>
          <w:i/>
          <w:iCs/>
          <w:color w:val="00B050"/>
          <w:kern w:val="2"/>
          <w:sz w:val="22"/>
          <w:szCs w:val="22"/>
        </w:rPr>
        <w:t>The SN can receive RVQoE reports directly from the UE.</w:t>
      </w:r>
    </w:p>
    <w:p>
      <w:pPr>
        <w:contextualSpacing/>
        <w:rPr>
          <w:rFonts w:ascii="Calibri" w:hAnsi="Calibri" w:cs="Calibri"/>
          <w:i/>
          <w:iCs/>
          <w:color w:val="00B050"/>
          <w:kern w:val="2"/>
          <w:sz w:val="22"/>
          <w:szCs w:val="22"/>
        </w:rPr>
      </w:pPr>
    </w:p>
    <w:p>
      <w:pPr>
        <w:rPr>
          <w:rFonts w:ascii="Times New Roman" w:hAnsi="Times New Roman" w:eastAsia="等线"/>
          <w:bCs/>
          <w:sz w:val="22"/>
          <w:szCs w:val="22"/>
          <w:lang w:val="en-US"/>
        </w:rPr>
      </w:pPr>
      <w:r>
        <w:rPr>
          <w:rFonts w:hint="eastAsia" w:ascii="Times New Roman" w:hAnsi="Times New Roman" w:eastAsia="等线"/>
          <w:bCs/>
          <w:sz w:val="22"/>
          <w:szCs w:val="22"/>
          <w:lang w:val="en-US"/>
        </w:rPr>
        <w:t>Both MN and SN can receive RVQoE report directly from UE. Since MN and SN may have their own requirements for RVQoE configuration, independent RVQoE report shall be received in MN and SN. If the RVQoE report for MN and SN is received by MN, and indication should be included in the RVQoE report to distinguish whether the RVQoE report is for MN or SN.</w:t>
      </w:r>
    </w:p>
    <w:p>
      <w:pPr>
        <w:rPr>
          <w:rFonts w:ascii="Times New Roman" w:hAnsi="Times New Roman" w:eastAsia="等线"/>
          <w:b/>
          <w:sz w:val="22"/>
          <w:szCs w:val="22"/>
          <w:lang w:val="en-US"/>
        </w:rPr>
      </w:pPr>
      <w:r>
        <w:rPr>
          <w:rFonts w:hint="eastAsia" w:ascii="Times New Roman" w:hAnsi="Times New Roman" w:eastAsia="等线"/>
          <w:b/>
          <w:sz w:val="22"/>
          <w:szCs w:val="22"/>
          <w:lang w:val="en-US"/>
        </w:rPr>
        <w:t>Proposal 6: If the RVQoE report for MN and SN is received by MN, an indication</w:t>
      </w:r>
      <w:r>
        <w:rPr>
          <w:rFonts w:ascii="Times New Roman" w:hAnsi="Times New Roman" w:eastAsia="等线"/>
          <w:b/>
          <w:sz w:val="22"/>
          <w:szCs w:val="22"/>
          <w:lang w:val="en-US"/>
        </w:rPr>
        <w:t xml:space="preserve"> for the purpose of differentiating from MN or SN</w:t>
      </w:r>
      <w:r>
        <w:rPr>
          <w:rFonts w:hint="eastAsia" w:ascii="Times New Roman" w:hAnsi="Times New Roman" w:eastAsia="等线"/>
          <w:b/>
          <w:sz w:val="22"/>
          <w:szCs w:val="22"/>
          <w:lang w:val="en-US"/>
        </w:rPr>
        <w:t xml:space="preserve"> should be included in the RVQoE report to indicate which node the RVQoE report should be transfer to.</w:t>
      </w:r>
    </w:p>
    <w:p>
      <w:pPr>
        <w:rPr>
          <w:rFonts w:ascii="Times New Roman" w:hAnsi="Times New Roman" w:eastAsia="等线"/>
          <w:b/>
          <w:sz w:val="22"/>
          <w:szCs w:val="22"/>
          <w:lang w:val="en-US"/>
        </w:rPr>
      </w:pPr>
    </w:p>
    <w:p>
      <w:pPr>
        <w:pStyle w:val="2"/>
        <w:rPr>
          <w:rFonts w:eastAsia="宋体"/>
        </w:rPr>
      </w:pPr>
      <w:r>
        <w:rPr>
          <w:rFonts w:eastAsia="宋体"/>
        </w:rPr>
        <w:t>Conclusion</w:t>
      </w:r>
    </w:p>
    <w:p>
      <w:pPr>
        <w:rPr>
          <w:rFonts w:ascii="Times New Roman" w:hAnsi="Times New Roman" w:eastAsia="等线"/>
          <w:b/>
          <w:bCs/>
          <w:sz w:val="22"/>
          <w:szCs w:val="22"/>
          <w:lang w:val="en-US"/>
        </w:rPr>
      </w:pPr>
      <w:r>
        <w:rPr>
          <w:rFonts w:hint="eastAsia" w:ascii="Times New Roman" w:hAnsi="Times New Roman" w:eastAsia="等线"/>
          <w:b/>
          <w:bCs/>
          <w:sz w:val="22"/>
          <w:szCs w:val="22"/>
          <w:lang w:val="en-US"/>
        </w:rPr>
        <w:t xml:space="preserve">Proposal 1: For MN and SN coordination, RAN3 should discuss whether to use UE associated signaling or Non-UE associated signaling, </w:t>
      </w:r>
      <w:r>
        <w:rPr>
          <w:rFonts w:ascii="Times New Roman" w:hAnsi="Times New Roman" w:eastAsia="等线"/>
          <w:b/>
          <w:bCs/>
          <w:sz w:val="22"/>
          <w:szCs w:val="22"/>
          <w:lang w:val="en-US"/>
        </w:rPr>
        <w:t>UE associated signaling solution is preferable with less spec impact.</w:t>
      </w:r>
    </w:p>
    <w:p>
      <w:pPr>
        <w:rPr>
          <w:rFonts w:ascii="Times New Roman" w:hAnsi="Times New Roman" w:eastAsia="等线"/>
          <w:bCs/>
          <w:sz w:val="22"/>
          <w:szCs w:val="22"/>
        </w:rPr>
      </w:pPr>
      <w:r>
        <w:rPr>
          <w:rFonts w:hint="eastAsia" w:ascii="Times New Roman" w:hAnsi="Times New Roman" w:eastAsia="等线"/>
          <w:b/>
          <w:sz w:val="22"/>
          <w:szCs w:val="22"/>
          <w:lang w:val="en-US"/>
        </w:rPr>
        <w:t>Proposal 2:</w:t>
      </w:r>
      <w:r>
        <w:rPr>
          <w:rFonts w:ascii="Times New Roman" w:hAnsi="Times New Roman" w:eastAsia="等线"/>
          <w:b/>
          <w:sz w:val="22"/>
          <w:szCs w:val="22"/>
          <w:lang w:val="en-US"/>
        </w:rPr>
        <w:t xml:space="preserve"> </w:t>
      </w:r>
      <w:r>
        <w:rPr>
          <w:rFonts w:ascii="Times New Roman" w:hAnsi="Times New Roman" w:eastAsia="等线"/>
          <w:b/>
          <w:bCs/>
          <w:sz w:val="22"/>
          <w:szCs w:val="22"/>
          <w:lang w:val="en-US"/>
        </w:rPr>
        <w:t xml:space="preserve">For RAN overload scenario, </w:t>
      </w:r>
      <w:r>
        <w:rPr>
          <w:rFonts w:hint="eastAsia" w:ascii="Times New Roman" w:hAnsi="Times New Roman" w:eastAsia="等线"/>
          <w:b/>
          <w:bCs/>
          <w:sz w:val="22"/>
          <w:szCs w:val="22"/>
          <w:lang w:val="en-US"/>
        </w:rPr>
        <w:t>it is preferred</w:t>
      </w:r>
      <w:r>
        <w:rPr>
          <w:rFonts w:ascii="Times New Roman" w:hAnsi="Times New Roman" w:eastAsia="等线"/>
          <w:b/>
          <w:bCs/>
          <w:sz w:val="22"/>
          <w:szCs w:val="22"/>
          <w:lang w:val="en-US"/>
        </w:rPr>
        <w:t xml:space="preserve"> </w:t>
      </w:r>
      <w:r>
        <w:rPr>
          <w:rFonts w:hint="eastAsia" w:ascii="Times New Roman" w:hAnsi="Times New Roman" w:eastAsia="等线"/>
          <w:b/>
          <w:bCs/>
          <w:sz w:val="22"/>
          <w:szCs w:val="22"/>
          <w:lang w:val="en-US"/>
        </w:rPr>
        <w:t>for MN to command the UE to switch the reporting leg</w:t>
      </w:r>
      <w:r>
        <w:rPr>
          <w:rFonts w:ascii="Times New Roman" w:hAnsi="Times New Roman" w:eastAsia="等线"/>
          <w:b/>
          <w:bCs/>
          <w:sz w:val="22"/>
          <w:szCs w:val="22"/>
          <w:lang w:val="en-US"/>
        </w:rPr>
        <w:t>.</w:t>
      </w:r>
    </w:p>
    <w:p>
      <w:pPr>
        <w:rPr>
          <w:rFonts w:ascii="Times New Roman" w:hAnsi="Times New Roman" w:eastAsia="等线"/>
          <w:b/>
          <w:sz w:val="22"/>
          <w:szCs w:val="22"/>
          <w:lang w:val="en-US"/>
        </w:rPr>
      </w:pPr>
      <w:r>
        <w:rPr>
          <w:rFonts w:hint="eastAsia" w:ascii="Times New Roman" w:hAnsi="Times New Roman" w:eastAsia="等线"/>
          <w:b/>
          <w:sz w:val="22"/>
          <w:szCs w:val="22"/>
          <w:lang w:val="en-US"/>
        </w:rPr>
        <w:t xml:space="preserve">Proposal 3: MN and SN can generate </w:t>
      </w:r>
      <w:r>
        <w:rPr>
          <w:rFonts w:ascii="Times New Roman" w:hAnsi="Times New Roman" w:eastAsia="等线"/>
          <w:b/>
          <w:sz w:val="22"/>
          <w:szCs w:val="22"/>
          <w:lang w:val="en-US"/>
        </w:rPr>
        <w:t>the</w:t>
      </w:r>
      <w:r>
        <w:rPr>
          <w:rFonts w:hint="eastAsia" w:ascii="Times New Roman" w:hAnsi="Times New Roman" w:eastAsia="等线"/>
          <w:b/>
          <w:sz w:val="22"/>
          <w:szCs w:val="22"/>
          <w:lang w:val="en-US"/>
        </w:rPr>
        <w:t xml:space="preserve"> RVQoE configuration</w:t>
      </w:r>
      <w:r>
        <w:rPr>
          <w:rFonts w:ascii="Times New Roman" w:hAnsi="Times New Roman" w:eastAsia="等线"/>
          <w:b/>
          <w:sz w:val="22"/>
          <w:szCs w:val="22"/>
          <w:lang w:val="en-US"/>
        </w:rPr>
        <w:t>s independently</w:t>
      </w:r>
      <w:r>
        <w:rPr>
          <w:rFonts w:hint="eastAsia" w:ascii="Times New Roman" w:hAnsi="Times New Roman" w:eastAsia="等线"/>
          <w:b/>
          <w:sz w:val="22"/>
          <w:szCs w:val="22"/>
          <w:lang w:val="en-US"/>
        </w:rPr>
        <w:t>, and MN can</w:t>
      </w:r>
      <w:r>
        <w:rPr>
          <w:rFonts w:ascii="Times New Roman" w:hAnsi="Times New Roman" w:eastAsia="等线"/>
          <w:b/>
          <w:sz w:val="22"/>
          <w:szCs w:val="22"/>
          <w:lang w:val="en-US"/>
        </w:rPr>
        <w:t>’</w:t>
      </w:r>
      <w:r>
        <w:rPr>
          <w:rFonts w:hint="eastAsia" w:ascii="Times New Roman" w:hAnsi="Times New Roman" w:eastAsia="等线"/>
          <w:b/>
          <w:sz w:val="22"/>
          <w:szCs w:val="22"/>
          <w:lang w:val="en-US"/>
        </w:rPr>
        <w:t>t modify the SN generated RVQoE configuration.</w:t>
      </w:r>
    </w:p>
    <w:p>
      <w:pPr>
        <w:rPr>
          <w:rFonts w:ascii="Times New Roman" w:hAnsi="Times New Roman" w:eastAsia="等线"/>
          <w:b/>
          <w:sz w:val="22"/>
          <w:szCs w:val="22"/>
          <w:lang w:val="en-US"/>
        </w:rPr>
      </w:pPr>
      <w:r>
        <w:rPr>
          <w:rFonts w:hint="eastAsia" w:ascii="Times New Roman" w:hAnsi="Times New Roman" w:eastAsia="等线"/>
          <w:b/>
          <w:sz w:val="22"/>
          <w:szCs w:val="22"/>
          <w:lang w:val="en-US"/>
        </w:rPr>
        <w:t>Proposal 4: The node that received the QoE configuration from the AMF/OAM can send to the other node the list of available RVQoE metrics during RVQoE configuration coordination.</w:t>
      </w:r>
    </w:p>
    <w:p>
      <w:pPr>
        <w:rPr>
          <w:rFonts w:ascii="Times New Roman" w:hAnsi="Times New Roman" w:eastAsia="等线"/>
          <w:b/>
          <w:sz w:val="22"/>
          <w:szCs w:val="22"/>
          <w:lang w:val="en-US"/>
        </w:rPr>
      </w:pPr>
      <w:r>
        <w:rPr>
          <w:rFonts w:hint="eastAsia" w:ascii="Times New Roman" w:hAnsi="Times New Roman" w:eastAsia="等线"/>
          <w:b/>
          <w:sz w:val="22"/>
          <w:szCs w:val="22"/>
          <w:lang w:val="en-US"/>
        </w:rPr>
        <w:t>Proposal 5: RVQoE configuration and legacy QoE configuration can be send to UE independently.</w:t>
      </w:r>
    </w:p>
    <w:p>
      <w:pPr>
        <w:rPr>
          <w:rFonts w:ascii="Times New Roman" w:hAnsi="Times New Roman" w:eastAsia="等线"/>
          <w:b/>
          <w:sz w:val="22"/>
          <w:szCs w:val="22"/>
          <w:lang w:val="en-US"/>
        </w:rPr>
      </w:pPr>
      <w:r>
        <w:rPr>
          <w:rFonts w:hint="eastAsia" w:ascii="Times New Roman" w:hAnsi="Times New Roman" w:eastAsia="等线"/>
          <w:b/>
          <w:sz w:val="22"/>
          <w:szCs w:val="22"/>
          <w:lang w:val="en-US"/>
        </w:rPr>
        <w:t>Proposal 6: If the RVQoE report for MN and SN is received by MN, an indication</w:t>
      </w:r>
      <w:r>
        <w:rPr>
          <w:rFonts w:ascii="Times New Roman" w:hAnsi="Times New Roman" w:eastAsia="等线"/>
          <w:b/>
          <w:sz w:val="22"/>
          <w:szCs w:val="22"/>
          <w:lang w:val="en-US"/>
        </w:rPr>
        <w:t xml:space="preserve"> for the purpose of differentiating from MN or SN</w:t>
      </w:r>
      <w:r>
        <w:rPr>
          <w:rFonts w:hint="eastAsia" w:ascii="Times New Roman" w:hAnsi="Times New Roman" w:eastAsia="等线"/>
          <w:b/>
          <w:sz w:val="22"/>
          <w:szCs w:val="22"/>
          <w:lang w:val="en-US"/>
        </w:rPr>
        <w:t xml:space="preserve"> should be included in the RVQoE report to indicate which node the RVQoE report should be transfer to.</w:t>
      </w:r>
    </w:p>
    <w:p>
      <w:pPr>
        <w:rPr>
          <w:rFonts w:ascii="Times New Roman" w:hAnsi="Times New Roman" w:eastAsia="等线"/>
          <w:b/>
          <w:bCs/>
          <w:sz w:val="22"/>
          <w:szCs w:val="22"/>
          <w:lang w:val="en-US"/>
        </w:rPr>
      </w:pPr>
    </w:p>
    <w:p>
      <w:pPr>
        <w:rPr>
          <w:lang w:val="en-US"/>
        </w:rPr>
      </w:pPr>
    </w:p>
    <w:sectPr>
      <w:footerReference r:id="rId5" w:type="default"/>
      <w:headerReference r:id="rId4" w:type="even"/>
      <w:footnotePr>
        <w:numRestart w:val="eachSect"/>
      </w:footnotePr>
      <w:pgSz w:w="11907" w:h="16840"/>
      <w:pgMar w:top="1134" w:right="1134" w:bottom="1080"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3118918"/>
    </w:sdtPr>
    <w:sdtContent>
      <w:p>
        <w:pPr>
          <w:pStyle w:val="15"/>
        </w:pPr>
        <w:r>
          <w:fldChar w:fldCharType="begin"/>
        </w:r>
        <w:r>
          <w:instrText xml:space="preserve"> PAGE   \* MERGEFORMAT </w:instrText>
        </w:r>
        <w:r>
          <w:fldChar w:fldCharType="separate"/>
        </w:r>
        <w:r>
          <w:t>4</w:t>
        </w:r>
        <w:r>
          <w:fldChar w:fldCharType="end"/>
        </w:r>
      </w:p>
    </w:sdtContent>
  </w:sdt>
  <w:p>
    <w:pPr>
      <w:pStyle w:val="15"/>
      <w:tabs>
        <w:tab w:val="center" w:pos="4820"/>
        <w:tab w:val="right" w:pos="9639"/>
      </w:tabs>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CDFAFA"/>
    <w:multiLevelType w:val="singleLevel"/>
    <w:tmpl w:val="94CDFAFA"/>
    <w:lvl w:ilvl="0" w:tentative="0">
      <w:start w:val="1"/>
      <w:numFmt w:val="lowerLetter"/>
      <w:suff w:val="space"/>
      <w:lvlText w:val="%1)"/>
      <w:lvlJc w:val="left"/>
    </w:lvl>
  </w:abstractNum>
  <w:abstractNum w:abstractNumId="1">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2">
    <w:nsid w:val="056651AB"/>
    <w:multiLevelType w:val="multilevel"/>
    <w:tmpl w:val="056651AB"/>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3AA46647"/>
    <w:multiLevelType w:val="multilevel"/>
    <w:tmpl w:val="3AA46647"/>
    <w:lvl w:ilvl="0" w:tentative="0">
      <w:start w:val="1"/>
      <w:numFmt w:val="decimal"/>
      <w:pStyle w:val="68"/>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BDF65F6"/>
    <w:multiLevelType w:val="multilevel"/>
    <w:tmpl w:val="4BDF65F6"/>
    <w:lvl w:ilvl="0" w:tentative="0">
      <w:start w:val="1"/>
      <w:numFmt w:val="decimal"/>
      <w:pStyle w:val="63"/>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EE279BF"/>
    <w:multiLevelType w:val="multilevel"/>
    <w:tmpl w:val="4EE279BF"/>
    <w:lvl w:ilvl="0" w:tentative="0">
      <w:start w:val="1"/>
      <w:numFmt w:val="bullet"/>
      <w:lvlText w:val="−"/>
      <w:lvlJc w:val="left"/>
      <w:pPr>
        <w:ind w:left="840" w:hanging="420"/>
      </w:pPr>
      <w:rPr>
        <w:rFonts w:hint="eastAsia" w:ascii="微软雅黑" w:hAnsi="微软雅黑" w:eastAsia="微软雅黑"/>
        <w:lang w:val="en-GB"/>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6">
    <w:nsid w:val="5101505E"/>
    <w:multiLevelType w:val="multilevel"/>
    <w:tmpl w:val="5101505E"/>
    <w:lvl w:ilvl="0" w:tentative="0">
      <w:start w:val="1"/>
      <w:numFmt w:val="decimal"/>
      <w:pStyle w:val="69"/>
      <w:lvlText w:val="Observation %1"/>
      <w:lvlJc w:val="left"/>
      <w:pPr>
        <w:ind w:left="360" w:hanging="360"/>
      </w:pPr>
      <w:rPr>
        <w:rFonts w:hint="default"/>
        <w:b/>
        <w:bC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
  </w:num>
  <w:num w:numId="2">
    <w:abstractNumId w:val="4"/>
  </w:num>
  <w:num w:numId="3">
    <w:abstractNumId w:val="3"/>
  </w:num>
  <w:num w:numId="4">
    <w:abstractNumId w:val="6"/>
  </w:num>
  <w:num w:numId="5">
    <w:abstractNumId w:val="2"/>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documentProtection w:enforcement="0"/>
  <w:defaultTabStop w:val="1304"/>
  <w:hyphenationZone w:val="425"/>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52B4"/>
    <w:rsid w:val="000002EA"/>
    <w:rsid w:val="0000031F"/>
    <w:rsid w:val="00000D94"/>
    <w:rsid w:val="00001D9F"/>
    <w:rsid w:val="00002615"/>
    <w:rsid w:val="00002885"/>
    <w:rsid w:val="00003172"/>
    <w:rsid w:val="000034E5"/>
    <w:rsid w:val="00003C11"/>
    <w:rsid w:val="000041A0"/>
    <w:rsid w:val="00004A9F"/>
    <w:rsid w:val="00006C0C"/>
    <w:rsid w:val="000071CD"/>
    <w:rsid w:val="00007711"/>
    <w:rsid w:val="00010607"/>
    <w:rsid w:val="0001107D"/>
    <w:rsid w:val="000114C1"/>
    <w:rsid w:val="00011672"/>
    <w:rsid w:val="0001173E"/>
    <w:rsid w:val="00011D06"/>
    <w:rsid w:val="00011D26"/>
    <w:rsid w:val="0001271C"/>
    <w:rsid w:val="00013DDF"/>
    <w:rsid w:val="000145E4"/>
    <w:rsid w:val="00014D26"/>
    <w:rsid w:val="00014E15"/>
    <w:rsid w:val="0001558C"/>
    <w:rsid w:val="0001563F"/>
    <w:rsid w:val="000175D4"/>
    <w:rsid w:val="00017604"/>
    <w:rsid w:val="00021028"/>
    <w:rsid w:val="0002175C"/>
    <w:rsid w:val="00021E13"/>
    <w:rsid w:val="00021FF3"/>
    <w:rsid w:val="00022241"/>
    <w:rsid w:val="000226DE"/>
    <w:rsid w:val="00022BD3"/>
    <w:rsid w:val="00022C37"/>
    <w:rsid w:val="000233BA"/>
    <w:rsid w:val="000238C7"/>
    <w:rsid w:val="00023AE0"/>
    <w:rsid w:val="0002461F"/>
    <w:rsid w:val="0002563C"/>
    <w:rsid w:val="00025B97"/>
    <w:rsid w:val="00025E8C"/>
    <w:rsid w:val="000268E3"/>
    <w:rsid w:val="00026FFE"/>
    <w:rsid w:val="00027912"/>
    <w:rsid w:val="00027A7E"/>
    <w:rsid w:val="000303D3"/>
    <w:rsid w:val="00030BBF"/>
    <w:rsid w:val="00031799"/>
    <w:rsid w:val="00031859"/>
    <w:rsid w:val="0003387D"/>
    <w:rsid w:val="00033D0C"/>
    <w:rsid w:val="00034106"/>
    <w:rsid w:val="00034947"/>
    <w:rsid w:val="0003527D"/>
    <w:rsid w:val="000353D5"/>
    <w:rsid w:val="00035C3A"/>
    <w:rsid w:val="00035DD7"/>
    <w:rsid w:val="00035ED7"/>
    <w:rsid w:val="00035F58"/>
    <w:rsid w:val="00036135"/>
    <w:rsid w:val="000361BC"/>
    <w:rsid w:val="000363B4"/>
    <w:rsid w:val="0003737E"/>
    <w:rsid w:val="000374EE"/>
    <w:rsid w:val="00037AF0"/>
    <w:rsid w:val="00040162"/>
    <w:rsid w:val="00040306"/>
    <w:rsid w:val="00041933"/>
    <w:rsid w:val="00042A0A"/>
    <w:rsid w:val="00043493"/>
    <w:rsid w:val="00043B53"/>
    <w:rsid w:val="000445C8"/>
    <w:rsid w:val="00045276"/>
    <w:rsid w:val="00045336"/>
    <w:rsid w:val="0004603B"/>
    <w:rsid w:val="00046A55"/>
    <w:rsid w:val="00046B26"/>
    <w:rsid w:val="00046FD2"/>
    <w:rsid w:val="000474A3"/>
    <w:rsid w:val="000478D4"/>
    <w:rsid w:val="00050158"/>
    <w:rsid w:val="000507EA"/>
    <w:rsid w:val="00050DAE"/>
    <w:rsid w:val="00050EC6"/>
    <w:rsid w:val="000513DB"/>
    <w:rsid w:val="00051400"/>
    <w:rsid w:val="0005150F"/>
    <w:rsid w:val="00051E63"/>
    <w:rsid w:val="00051F20"/>
    <w:rsid w:val="00052188"/>
    <w:rsid w:val="000524AE"/>
    <w:rsid w:val="000539EB"/>
    <w:rsid w:val="00054172"/>
    <w:rsid w:val="00054CA4"/>
    <w:rsid w:val="00054D87"/>
    <w:rsid w:val="0005508E"/>
    <w:rsid w:val="00055631"/>
    <w:rsid w:val="00055694"/>
    <w:rsid w:val="000557E4"/>
    <w:rsid w:val="00056CA4"/>
    <w:rsid w:val="00056EF1"/>
    <w:rsid w:val="000571E0"/>
    <w:rsid w:val="00057EA8"/>
    <w:rsid w:val="00057FC9"/>
    <w:rsid w:val="0006000A"/>
    <w:rsid w:val="0006049E"/>
    <w:rsid w:val="00060C48"/>
    <w:rsid w:val="00060D8A"/>
    <w:rsid w:val="00061278"/>
    <w:rsid w:val="000615B2"/>
    <w:rsid w:val="0006169E"/>
    <w:rsid w:val="00061B84"/>
    <w:rsid w:val="00061F10"/>
    <w:rsid w:val="0006293B"/>
    <w:rsid w:val="00062970"/>
    <w:rsid w:val="0006314E"/>
    <w:rsid w:val="00063818"/>
    <w:rsid w:val="000643BC"/>
    <w:rsid w:val="000643FD"/>
    <w:rsid w:val="000649F5"/>
    <w:rsid w:val="00064F0A"/>
    <w:rsid w:val="00066E7B"/>
    <w:rsid w:val="000676E8"/>
    <w:rsid w:val="000679E8"/>
    <w:rsid w:val="00067C16"/>
    <w:rsid w:val="0007010A"/>
    <w:rsid w:val="00070255"/>
    <w:rsid w:val="000702F3"/>
    <w:rsid w:val="00070ADB"/>
    <w:rsid w:val="00070ED5"/>
    <w:rsid w:val="00070FA5"/>
    <w:rsid w:val="000714CA"/>
    <w:rsid w:val="0007153C"/>
    <w:rsid w:val="000718E7"/>
    <w:rsid w:val="00071F84"/>
    <w:rsid w:val="00072187"/>
    <w:rsid w:val="000722C8"/>
    <w:rsid w:val="00072CC0"/>
    <w:rsid w:val="000731AC"/>
    <w:rsid w:val="00073290"/>
    <w:rsid w:val="0007378B"/>
    <w:rsid w:val="000747FA"/>
    <w:rsid w:val="000754FF"/>
    <w:rsid w:val="00075D1E"/>
    <w:rsid w:val="00076199"/>
    <w:rsid w:val="0007673A"/>
    <w:rsid w:val="0007689B"/>
    <w:rsid w:val="00077E1A"/>
    <w:rsid w:val="00077E6C"/>
    <w:rsid w:val="00080B5B"/>
    <w:rsid w:val="00080FB5"/>
    <w:rsid w:val="000813A1"/>
    <w:rsid w:val="0008167C"/>
    <w:rsid w:val="00081803"/>
    <w:rsid w:val="00081D9B"/>
    <w:rsid w:val="000825DE"/>
    <w:rsid w:val="0008280C"/>
    <w:rsid w:val="0008290F"/>
    <w:rsid w:val="00082C71"/>
    <w:rsid w:val="00082D3C"/>
    <w:rsid w:val="000832FA"/>
    <w:rsid w:val="00083679"/>
    <w:rsid w:val="00083A92"/>
    <w:rsid w:val="000842D2"/>
    <w:rsid w:val="00084A3B"/>
    <w:rsid w:val="00084AA2"/>
    <w:rsid w:val="00084C5D"/>
    <w:rsid w:val="000851B8"/>
    <w:rsid w:val="00085569"/>
    <w:rsid w:val="00085F37"/>
    <w:rsid w:val="000862CC"/>
    <w:rsid w:val="00086AFC"/>
    <w:rsid w:val="00087599"/>
    <w:rsid w:val="00090E9A"/>
    <w:rsid w:val="00090EF0"/>
    <w:rsid w:val="000914C2"/>
    <w:rsid w:val="00091683"/>
    <w:rsid w:val="00091A4B"/>
    <w:rsid w:val="00091D87"/>
    <w:rsid w:val="00091E5A"/>
    <w:rsid w:val="00092167"/>
    <w:rsid w:val="000921BB"/>
    <w:rsid w:val="00092693"/>
    <w:rsid w:val="00092B3B"/>
    <w:rsid w:val="00092ED8"/>
    <w:rsid w:val="000937FA"/>
    <w:rsid w:val="00094313"/>
    <w:rsid w:val="000950A2"/>
    <w:rsid w:val="000950EA"/>
    <w:rsid w:val="00096587"/>
    <w:rsid w:val="000968CB"/>
    <w:rsid w:val="00096B05"/>
    <w:rsid w:val="00096FD7"/>
    <w:rsid w:val="00097489"/>
    <w:rsid w:val="00097EE9"/>
    <w:rsid w:val="000A05EE"/>
    <w:rsid w:val="000A0A04"/>
    <w:rsid w:val="000A0FD0"/>
    <w:rsid w:val="000A1928"/>
    <w:rsid w:val="000A1FDE"/>
    <w:rsid w:val="000A20E0"/>
    <w:rsid w:val="000A223D"/>
    <w:rsid w:val="000A27D7"/>
    <w:rsid w:val="000A292B"/>
    <w:rsid w:val="000A2C2E"/>
    <w:rsid w:val="000A30B1"/>
    <w:rsid w:val="000A346B"/>
    <w:rsid w:val="000A3615"/>
    <w:rsid w:val="000A4319"/>
    <w:rsid w:val="000A49AD"/>
    <w:rsid w:val="000A4C21"/>
    <w:rsid w:val="000A5322"/>
    <w:rsid w:val="000A53E4"/>
    <w:rsid w:val="000A6397"/>
    <w:rsid w:val="000A6946"/>
    <w:rsid w:val="000A6F45"/>
    <w:rsid w:val="000A78DA"/>
    <w:rsid w:val="000B0147"/>
    <w:rsid w:val="000B0629"/>
    <w:rsid w:val="000B06F4"/>
    <w:rsid w:val="000B0717"/>
    <w:rsid w:val="000B0F47"/>
    <w:rsid w:val="000B1AFB"/>
    <w:rsid w:val="000B1B37"/>
    <w:rsid w:val="000B1D81"/>
    <w:rsid w:val="000B2481"/>
    <w:rsid w:val="000B2754"/>
    <w:rsid w:val="000B311C"/>
    <w:rsid w:val="000B3B91"/>
    <w:rsid w:val="000B4DE3"/>
    <w:rsid w:val="000B4F6C"/>
    <w:rsid w:val="000B5B21"/>
    <w:rsid w:val="000B5FBB"/>
    <w:rsid w:val="000B6897"/>
    <w:rsid w:val="000B6DC0"/>
    <w:rsid w:val="000B756A"/>
    <w:rsid w:val="000B773C"/>
    <w:rsid w:val="000B7745"/>
    <w:rsid w:val="000B77A9"/>
    <w:rsid w:val="000C064D"/>
    <w:rsid w:val="000C0686"/>
    <w:rsid w:val="000C18CF"/>
    <w:rsid w:val="000C2360"/>
    <w:rsid w:val="000C23BF"/>
    <w:rsid w:val="000C286B"/>
    <w:rsid w:val="000C2FDF"/>
    <w:rsid w:val="000C4026"/>
    <w:rsid w:val="000C4049"/>
    <w:rsid w:val="000C4B33"/>
    <w:rsid w:val="000C5797"/>
    <w:rsid w:val="000C5B93"/>
    <w:rsid w:val="000C6688"/>
    <w:rsid w:val="000C7040"/>
    <w:rsid w:val="000C7419"/>
    <w:rsid w:val="000C779F"/>
    <w:rsid w:val="000D094E"/>
    <w:rsid w:val="000D172E"/>
    <w:rsid w:val="000D1E06"/>
    <w:rsid w:val="000D2D0C"/>
    <w:rsid w:val="000D2F55"/>
    <w:rsid w:val="000D30DD"/>
    <w:rsid w:val="000D34DF"/>
    <w:rsid w:val="000D4636"/>
    <w:rsid w:val="000D4DB9"/>
    <w:rsid w:val="000D527A"/>
    <w:rsid w:val="000D58CE"/>
    <w:rsid w:val="000D61C8"/>
    <w:rsid w:val="000D6382"/>
    <w:rsid w:val="000D6A5C"/>
    <w:rsid w:val="000D6F9D"/>
    <w:rsid w:val="000D7206"/>
    <w:rsid w:val="000D7348"/>
    <w:rsid w:val="000D7E14"/>
    <w:rsid w:val="000E099E"/>
    <w:rsid w:val="000E1C4B"/>
    <w:rsid w:val="000E33B7"/>
    <w:rsid w:val="000E3478"/>
    <w:rsid w:val="000E3D16"/>
    <w:rsid w:val="000E63A7"/>
    <w:rsid w:val="000E6855"/>
    <w:rsid w:val="000E6C66"/>
    <w:rsid w:val="000E7694"/>
    <w:rsid w:val="000E7D39"/>
    <w:rsid w:val="000F04F2"/>
    <w:rsid w:val="000F0DA6"/>
    <w:rsid w:val="000F13E7"/>
    <w:rsid w:val="000F1D60"/>
    <w:rsid w:val="000F2D6E"/>
    <w:rsid w:val="000F4305"/>
    <w:rsid w:val="000F45BA"/>
    <w:rsid w:val="000F5194"/>
    <w:rsid w:val="000F5424"/>
    <w:rsid w:val="000F5B5B"/>
    <w:rsid w:val="000F609D"/>
    <w:rsid w:val="000F6249"/>
    <w:rsid w:val="000F6371"/>
    <w:rsid w:val="000F6A22"/>
    <w:rsid w:val="000F6D61"/>
    <w:rsid w:val="000F715F"/>
    <w:rsid w:val="000F725C"/>
    <w:rsid w:val="000F7921"/>
    <w:rsid w:val="000F79EE"/>
    <w:rsid w:val="000F7B1F"/>
    <w:rsid w:val="000F7EC0"/>
    <w:rsid w:val="00100069"/>
    <w:rsid w:val="0010011D"/>
    <w:rsid w:val="00100706"/>
    <w:rsid w:val="0010137F"/>
    <w:rsid w:val="001014CF"/>
    <w:rsid w:val="00101CD8"/>
    <w:rsid w:val="00101E4B"/>
    <w:rsid w:val="0010302A"/>
    <w:rsid w:val="00103694"/>
    <w:rsid w:val="0010379B"/>
    <w:rsid w:val="0010394F"/>
    <w:rsid w:val="00103D71"/>
    <w:rsid w:val="0010443B"/>
    <w:rsid w:val="00105F87"/>
    <w:rsid w:val="001071F3"/>
    <w:rsid w:val="001077AC"/>
    <w:rsid w:val="00110194"/>
    <w:rsid w:val="00110AC2"/>
    <w:rsid w:val="00110F86"/>
    <w:rsid w:val="00111755"/>
    <w:rsid w:val="00112950"/>
    <w:rsid w:val="00112D99"/>
    <w:rsid w:val="001146B3"/>
    <w:rsid w:val="00114ABC"/>
    <w:rsid w:val="00114F3B"/>
    <w:rsid w:val="0011520C"/>
    <w:rsid w:val="0011538F"/>
    <w:rsid w:val="00115B4A"/>
    <w:rsid w:val="00115DD2"/>
    <w:rsid w:val="0011766A"/>
    <w:rsid w:val="00117B72"/>
    <w:rsid w:val="00117C9D"/>
    <w:rsid w:val="00120771"/>
    <w:rsid w:val="001209C8"/>
    <w:rsid w:val="00121391"/>
    <w:rsid w:val="00121702"/>
    <w:rsid w:val="001218EC"/>
    <w:rsid w:val="00122CC0"/>
    <w:rsid w:val="00122D72"/>
    <w:rsid w:val="00122DCE"/>
    <w:rsid w:val="00123083"/>
    <w:rsid w:val="00123107"/>
    <w:rsid w:val="001232BB"/>
    <w:rsid w:val="001239E4"/>
    <w:rsid w:val="00124862"/>
    <w:rsid w:val="00124D5C"/>
    <w:rsid w:val="001254B5"/>
    <w:rsid w:val="00125629"/>
    <w:rsid w:val="00126389"/>
    <w:rsid w:val="00126639"/>
    <w:rsid w:val="001267BA"/>
    <w:rsid w:val="00127072"/>
    <w:rsid w:val="00127E6D"/>
    <w:rsid w:val="00127FFE"/>
    <w:rsid w:val="0013122A"/>
    <w:rsid w:val="00131D80"/>
    <w:rsid w:val="0013224C"/>
    <w:rsid w:val="001322DB"/>
    <w:rsid w:val="00133036"/>
    <w:rsid w:val="00134D87"/>
    <w:rsid w:val="0013557A"/>
    <w:rsid w:val="001359C7"/>
    <w:rsid w:val="00135CB1"/>
    <w:rsid w:val="00135D8B"/>
    <w:rsid w:val="0013616F"/>
    <w:rsid w:val="001365B6"/>
    <w:rsid w:val="00136F19"/>
    <w:rsid w:val="00137318"/>
    <w:rsid w:val="001377EF"/>
    <w:rsid w:val="00137BF1"/>
    <w:rsid w:val="0014056B"/>
    <w:rsid w:val="00140F34"/>
    <w:rsid w:val="00141DC9"/>
    <w:rsid w:val="001427F8"/>
    <w:rsid w:val="00142F76"/>
    <w:rsid w:val="001434EC"/>
    <w:rsid w:val="00143937"/>
    <w:rsid w:val="00143AE7"/>
    <w:rsid w:val="00144702"/>
    <w:rsid w:val="00144800"/>
    <w:rsid w:val="00144C7F"/>
    <w:rsid w:val="00144F9B"/>
    <w:rsid w:val="00146757"/>
    <w:rsid w:val="00146846"/>
    <w:rsid w:val="00147343"/>
    <w:rsid w:val="00147C08"/>
    <w:rsid w:val="001500FB"/>
    <w:rsid w:val="001506A7"/>
    <w:rsid w:val="00150A9E"/>
    <w:rsid w:val="001514E3"/>
    <w:rsid w:val="00151BFE"/>
    <w:rsid w:val="0015232D"/>
    <w:rsid w:val="0015245D"/>
    <w:rsid w:val="00152D6E"/>
    <w:rsid w:val="0015364E"/>
    <w:rsid w:val="00153F23"/>
    <w:rsid w:val="00154009"/>
    <w:rsid w:val="001543E6"/>
    <w:rsid w:val="001548D7"/>
    <w:rsid w:val="00154C94"/>
    <w:rsid w:val="001552DB"/>
    <w:rsid w:val="001556EC"/>
    <w:rsid w:val="001559B0"/>
    <w:rsid w:val="00156182"/>
    <w:rsid w:val="001567CE"/>
    <w:rsid w:val="00156E5F"/>
    <w:rsid w:val="00156F3B"/>
    <w:rsid w:val="0015797F"/>
    <w:rsid w:val="00160AB7"/>
    <w:rsid w:val="00161843"/>
    <w:rsid w:val="00161A5E"/>
    <w:rsid w:val="00162261"/>
    <w:rsid w:val="001622A7"/>
    <w:rsid w:val="00162B8A"/>
    <w:rsid w:val="00163552"/>
    <w:rsid w:val="00166D01"/>
    <w:rsid w:val="001676F2"/>
    <w:rsid w:val="0016787D"/>
    <w:rsid w:val="00167C07"/>
    <w:rsid w:val="001704DE"/>
    <w:rsid w:val="00171019"/>
    <w:rsid w:val="001713EA"/>
    <w:rsid w:val="001715D5"/>
    <w:rsid w:val="001718F2"/>
    <w:rsid w:val="00171D2C"/>
    <w:rsid w:val="00172511"/>
    <w:rsid w:val="00172E27"/>
    <w:rsid w:val="00173ABC"/>
    <w:rsid w:val="00173EC7"/>
    <w:rsid w:val="00174210"/>
    <w:rsid w:val="00174BE1"/>
    <w:rsid w:val="00175027"/>
    <w:rsid w:val="00175427"/>
    <w:rsid w:val="00175EDA"/>
    <w:rsid w:val="00176CBC"/>
    <w:rsid w:val="00176F48"/>
    <w:rsid w:val="00176FB7"/>
    <w:rsid w:val="001810F8"/>
    <w:rsid w:val="00181488"/>
    <w:rsid w:val="00181CAA"/>
    <w:rsid w:val="00181CDB"/>
    <w:rsid w:val="00181D6A"/>
    <w:rsid w:val="00182088"/>
    <w:rsid w:val="0018245F"/>
    <w:rsid w:val="00182DE4"/>
    <w:rsid w:val="001832F7"/>
    <w:rsid w:val="00183D68"/>
    <w:rsid w:val="00183E87"/>
    <w:rsid w:val="00183F0E"/>
    <w:rsid w:val="0018415D"/>
    <w:rsid w:val="00184EB1"/>
    <w:rsid w:val="00186FDF"/>
    <w:rsid w:val="00187A5B"/>
    <w:rsid w:val="0019015D"/>
    <w:rsid w:val="00190542"/>
    <w:rsid w:val="00190747"/>
    <w:rsid w:val="00190C01"/>
    <w:rsid w:val="00190D21"/>
    <w:rsid w:val="00191653"/>
    <w:rsid w:val="00191B47"/>
    <w:rsid w:val="00191F65"/>
    <w:rsid w:val="00192091"/>
    <w:rsid w:val="0019236F"/>
    <w:rsid w:val="00192D78"/>
    <w:rsid w:val="00193674"/>
    <w:rsid w:val="00193A31"/>
    <w:rsid w:val="00194961"/>
    <w:rsid w:val="00195473"/>
    <w:rsid w:val="00195BC5"/>
    <w:rsid w:val="00195E06"/>
    <w:rsid w:val="00195E31"/>
    <w:rsid w:val="00195E56"/>
    <w:rsid w:val="0019647D"/>
    <w:rsid w:val="001968A1"/>
    <w:rsid w:val="00196920"/>
    <w:rsid w:val="00196D2F"/>
    <w:rsid w:val="001A0488"/>
    <w:rsid w:val="001A05FE"/>
    <w:rsid w:val="001A17AE"/>
    <w:rsid w:val="001A24F1"/>
    <w:rsid w:val="001A2A6E"/>
    <w:rsid w:val="001A3134"/>
    <w:rsid w:val="001A36E7"/>
    <w:rsid w:val="001A3B0E"/>
    <w:rsid w:val="001A414D"/>
    <w:rsid w:val="001A49A3"/>
    <w:rsid w:val="001A4A72"/>
    <w:rsid w:val="001A4CEA"/>
    <w:rsid w:val="001A58CB"/>
    <w:rsid w:val="001A6ED9"/>
    <w:rsid w:val="001A6F9D"/>
    <w:rsid w:val="001B04F1"/>
    <w:rsid w:val="001B05E3"/>
    <w:rsid w:val="001B0949"/>
    <w:rsid w:val="001B0B98"/>
    <w:rsid w:val="001B0CCA"/>
    <w:rsid w:val="001B1571"/>
    <w:rsid w:val="001B18B9"/>
    <w:rsid w:val="001B1AF0"/>
    <w:rsid w:val="001B1B3F"/>
    <w:rsid w:val="001B1C36"/>
    <w:rsid w:val="001B31B6"/>
    <w:rsid w:val="001B353B"/>
    <w:rsid w:val="001B47BA"/>
    <w:rsid w:val="001B48D0"/>
    <w:rsid w:val="001B4BBF"/>
    <w:rsid w:val="001B593C"/>
    <w:rsid w:val="001B66CC"/>
    <w:rsid w:val="001B6F05"/>
    <w:rsid w:val="001B70B0"/>
    <w:rsid w:val="001B7E02"/>
    <w:rsid w:val="001C027F"/>
    <w:rsid w:val="001C0A3D"/>
    <w:rsid w:val="001C0AE7"/>
    <w:rsid w:val="001C1255"/>
    <w:rsid w:val="001C3696"/>
    <w:rsid w:val="001C3B1F"/>
    <w:rsid w:val="001C3CDB"/>
    <w:rsid w:val="001C3F49"/>
    <w:rsid w:val="001C4100"/>
    <w:rsid w:val="001C48D7"/>
    <w:rsid w:val="001C4B0B"/>
    <w:rsid w:val="001C4D45"/>
    <w:rsid w:val="001C4F78"/>
    <w:rsid w:val="001C4FFA"/>
    <w:rsid w:val="001C565E"/>
    <w:rsid w:val="001C5D5B"/>
    <w:rsid w:val="001C6149"/>
    <w:rsid w:val="001C6458"/>
    <w:rsid w:val="001C68D4"/>
    <w:rsid w:val="001C6DFB"/>
    <w:rsid w:val="001C7A80"/>
    <w:rsid w:val="001D0096"/>
    <w:rsid w:val="001D01AB"/>
    <w:rsid w:val="001D08AA"/>
    <w:rsid w:val="001D0ACB"/>
    <w:rsid w:val="001D19FE"/>
    <w:rsid w:val="001D3483"/>
    <w:rsid w:val="001D3A28"/>
    <w:rsid w:val="001D3FB8"/>
    <w:rsid w:val="001D4393"/>
    <w:rsid w:val="001D44B8"/>
    <w:rsid w:val="001D4984"/>
    <w:rsid w:val="001D4B78"/>
    <w:rsid w:val="001D4D7B"/>
    <w:rsid w:val="001D4F35"/>
    <w:rsid w:val="001D5F99"/>
    <w:rsid w:val="001D6199"/>
    <w:rsid w:val="001D6930"/>
    <w:rsid w:val="001D6DB4"/>
    <w:rsid w:val="001D7134"/>
    <w:rsid w:val="001D7A88"/>
    <w:rsid w:val="001D7DCD"/>
    <w:rsid w:val="001D7E7F"/>
    <w:rsid w:val="001D7E88"/>
    <w:rsid w:val="001E0C94"/>
    <w:rsid w:val="001E1886"/>
    <w:rsid w:val="001E2185"/>
    <w:rsid w:val="001E3548"/>
    <w:rsid w:val="001E391C"/>
    <w:rsid w:val="001E4D28"/>
    <w:rsid w:val="001E50A0"/>
    <w:rsid w:val="001E557D"/>
    <w:rsid w:val="001E5B09"/>
    <w:rsid w:val="001E6694"/>
    <w:rsid w:val="001E6BA3"/>
    <w:rsid w:val="001E6E19"/>
    <w:rsid w:val="001E704F"/>
    <w:rsid w:val="001E742B"/>
    <w:rsid w:val="001E7C03"/>
    <w:rsid w:val="001F00FB"/>
    <w:rsid w:val="001F0571"/>
    <w:rsid w:val="001F0885"/>
    <w:rsid w:val="001F0B02"/>
    <w:rsid w:val="001F0B8B"/>
    <w:rsid w:val="001F1434"/>
    <w:rsid w:val="001F1577"/>
    <w:rsid w:val="001F1677"/>
    <w:rsid w:val="001F1A9E"/>
    <w:rsid w:val="001F2591"/>
    <w:rsid w:val="001F2A05"/>
    <w:rsid w:val="001F3CBC"/>
    <w:rsid w:val="001F440D"/>
    <w:rsid w:val="001F4E09"/>
    <w:rsid w:val="001F4EEE"/>
    <w:rsid w:val="001F5937"/>
    <w:rsid w:val="001F70E8"/>
    <w:rsid w:val="001F751B"/>
    <w:rsid w:val="001F7559"/>
    <w:rsid w:val="001F7731"/>
    <w:rsid w:val="00200174"/>
    <w:rsid w:val="0020031F"/>
    <w:rsid w:val="002007CA"/>
    <w:rsid w:val="0020083D"/>
    <w:rsid w:val="0020086A"/>
    <w:rsid w:val="00200C31"/>
    <w:rsid w:val="00200E21"/>
    <w:rsid w:val="00201090"/>
    <w:rsid w:val="002010E2"/>
    <w:rsid w:val="00202288"/>
    <w:rsid w:val="00202B8B"/>
    <w:rsid w:val="00202DA6"/>
    <w:rsid w:val="0020349A"/>
    <w:rsid w:val="00204731"/>
    <w:rsid w:val="00204884"/>
    <w:rsid w:val="00204F85"/>
    <w:rsid w:val="002054BD"/>
    <w:rsid w:val="00205FDC"/>
    <w:rsid w:val="00207734"/>
    <w:rsid w:val="00207A51"/>
    <w:rsid w:val="0021011B"/>
    <w:rsid w:val="00210172"/>
    <w:rsid w:val="00210438"/>
    <w:rsid w:val="002104C5"/>
    <w:rsid w:val="00210BAD"/>
    <w:rsid w:val="002119FE"/>
    <w:rsid w:val="002124DD"/>
    <w:rsid w:val="002124E6"/>
    <w:rsid w:val="0021330B"/>
    <w:rsid w:val="002138DD"/>
    <w:rsid w:val="0021427C"/>
    <w:rsid w:val="002147E2"/>
    <w:rsid w:val="00214AC3"/>
    <w:rsid w:val="00214BEA"/>
    <w:rsid w:val="00215280"/>
    <w:rsid w:val="002158C6"/>
    <w:rsid w:val="002159F2"/>
    <w:rsid w:val="00215E31"/>
    <w:rsid w:val="00216373"/>
    <w:rsid w:val="0021645B"/>
    <w:rsid w:val="002166BB"/>
    <w:rsid w:val="002167B0"/>
    <w:rsid w:val="0021686A"/>
    <w:rsid w:val="002208B9"/>
    <w:rsid w:val="00221981"/>
    <w:rsid w:val="0022230C"/>
    <w:rsid w:val="002225FE"/>
    <w:rsid w:val="00222943"/>
    <w:rsid w:val="00223167"/>
    <w:rsid w:val="00223B13"/>
    <w:rsid w:val="002240E0"/>
    <w:rsid w:val="00224C54"/>
    <w:rsid w:val="00224EAE"/>
    <w:rsid w:val="00225226"/>
    <w:rsid w:val="00225411"/>
    <w:rsid w:val="002265D3"/>
    <w:rsid w:val="00226C09"/>
    <w:rsid w:val="00226E16"/>
    <w:rsid w:val="00226F6D"/>
    <w:rsid w:val="00226FC4"/>
    <w:rsid w:val="00227394"/>
    <w:rsid w:val="00227429"/>
    <w:rsid w:val="002275AB"/>
    <w:rsid w:val="00230204"/>
    <w:rsid w:val="00230AB6"/>
    <w:rsid w:val="002317F8"/>
    <w:rsid w:val="00231AA1"/>
    <w:rsid w:val="00232184"/>
    <w:rsid w:val="0023238C"/>
    <w:rsid w:val="00232BD5"/>
    <w:rsid w:val="002331FC"/>
    <w:rsid w:val="00233BAC"/>
    <w:rsid w:val="00233C98"/>
    <w:rsid w:val="00233EDA"/>
    <w:rsid w:val="00234221"/>
    <w:rsid w:val="00234456"/>
    <w:rsid w:val="00234C25"/>
    <w:rsid w:val="00235CAE"/>
    <w:rsid w:val="0023604E"/>
    <w:rsid w:val="002368DD"/>
    <w:rsid w:val="00236BFE"/>
    <w:rsid w:val="00236EC8"/>
    <w:rsid w:val="002370D5"/>
    <w:rsid w:val="002370EA"/>
    <w:rsid w:val="0024074B"/>
    <w:rsid w:val="00240D3C"/>
    <w:rsid w:val="00240F65"/>
    <w:rsid w:val="002436BB"/>
    <w:rsid w:val="002437CA"/>
    <w:rsid w:val="00243E7F"/>
    <w:rsid w:val="00244605"/>
    <w:rsid w:val="00244A76"/>
    <w:rsid w:val="00244BFA"/>
    <w:rsid w:val="0024500A"/>
    <w:rsid w:val="00245B41"/>
    <w:rsid w:val="002466BA"/>
    <w:rsid w:val="002468C8"/>
    <w:rsid w:val="0024773A"/>
    <w:rsid w:val="00247ED5"/>
    <w:rsid w:val="002507B5"/>
    <w:rsid w:val="002510FB"/>
    <w:rsid w:val="0025195F"/>
    <w:rsid w:val="00251B6A"/>
    <w:rsid w:val="00251C0A"/>
    <w:rsid w:val="002521D9"/>
    <w:rsid w:val="00252E2A"/>
    <w:rsid w:val="00252FE9"/>
    <w:rsid w:val="00253082"/>
    <w:rsid w:val="00253495"/>
    <w:rsid w:val="00254565"/>
    <w:rsid w:val="00254AC0"/>
    <w:rsid w:val="00254AF5"/>
    <w:rsid w:val="0025525C"/>
    <w:rsid w:val="002556B9"/>
    <w:rsid w:val="002558A2"/>
    <w:rsid w:val="00256877"/>
    <w:rsid w:val="00256E17"/>
    <w:rsid w:val="00257344"/>
    <w:rsid w:val="00257A1A"/>
    <w:rsid w:val="00260CD4"/>
    <w:rsid w:val="00261598"/>
    <w:rsid w:val="0026181D"/>
    <w:rsid w:val="00263615"/>
    <w:rsid w:val="002653CB"/>
    <w:rsid w:val="00266563"/>
    <w:rsid w:val="00266618"/>
    <w:rsid w:val="00267554"/>
    <w:rsid w:val="00267797"/>
    <w:rsid w:val="00267831"/>
    <w:rsid w:val="0027050E"/>
    <w:rsid w:val="00270BFC"/>
    <w:rsid w:val="00270CA8"/>
    <w:rsid w:val="00270CE6"/>
    <w:rsid w:val="002717EB"/>
    <w:rsid w:val="00271E5A"/>
    <w:rsid w:val="00271E94"/>
    <w:rsid w:val="00271F55"/>
    <w:rsid w:val="002722FC"/>
    <w:rsid w:val="00273423"/>
    <w:rsid w:val="002738CA"/>
    <w:rsid w:val="00273A87"/>
    <w:rsid w:val="00273B3C"/>
    <w:rsid w:val="00273DCB"/>
    <w:rsid w:val="002748A2"/>
    <w:rsid w:val="00274F45"/>
    <w:rsid w:val="00276D0A"/>
    <w:rsid w:val="002778F6"/>
    <w:rsid w:val="00277DFC"/>
    <w:rsid w:val="00277FB8"/>
    <w:rsid w:val="00280067"/>
    <w:rsid w:val="00280675"/>
    <w:rsid w:val="00281535"/>
    <w:rsid w:val="002818AA"/>
    <w:rsid w:val="00281C7D"/>
    <w:rsid w:val="00282159"/>
    <w:rsid w:val="002829FB"/>
    <w:rsid w:val="002833BE"/>
    <w:rsid w:val="00283753"/>
    <w:rsid w:val="00284693"/>
    <w:rsid w:val="002849B3"/>
    <w:rsid w:val="002862D2"/>
    <w:rsid w:val="002867D5"/>
    <w:rsid w:val="00286A26"/>
    <w:rsid w:val="00286CC8"/>
    <w:rsid w:val="00286EC0"/>
    <w:rsid w:val="0028726B"/>
    <w:rsid w:val="002876AC"/>
    <w:rsid w:val="00287835"/>
    <w:rsid w:val="002879F3"/>
    <w:rsid w:val="002905DC"/>
    <w:rsid w:val="00291D09"/>
    <w:rsid w:val="00291F3D"/>
    <w:rsid w:val="00292272"/>
    <w:rsid w:val="00293931"/>
    <w:rsid w:val="00293D4F"/>
    <w:rsid w:val="002947EC"/>
    <w:rsid w:val="002960CF"/>
    <w:rsid w:val="002966B8"/>
    <w:rsid w:val="002972F3"/>
    <w:rsid w:val="002A0292"/>
    <w:rsid w:val="002A03CB"/>
    <w:rsid w:val="002A062A"/>
    <w:rsid w:val="002A09CE"/>
    <w:rsid w:val="002A0D12"/>
    <w:rsid w:val="002A0EAE"/>
    <w:rsid w:val="002A26D2"/>
    <w:rsid w:val="002A2B5D"/>
    <w:rsid w:val="002A30AB"/>
    <w:rsid w:val="002A42DF"/>
    <w:rsid w:val="002A49B9"/>
    <w:rsid w:val="002A49E4"/>
    <w:rsid w:val="002A4D94"/>
    <w:rsid w:val="002A4F1D"/>
    <w:rsid w:val="002A52B1"/>
    <w:rsid w:val="002A58B0"/>
    <w:rsid w:val="002A5E58"/>
    <w:rsid w:val="002A5E67"/>
    <w:rsid w:val="002A65D8"/>
    <w:rsid w:val="002A67CE"/>
    <w:rsid w:val="002A76A1"/>
    <w:rsid w:val="002A7D14"/>
    <w:rsid w:val="002B0063"/>
    <w:rsid w:val="002B0AE3"/>
    <w:rsid w:val="002B0B92"/>
    <w:rsid w:val="002B1963"/>
    <w:rsid w:val="002B1F99"/>
    <w:rsid w:val="002B2CB8"/>
    <w:rsid w:val="002B2E0C"/>
    <w:rsid w:val="002B3110"/>
    <w:rsid w:val="002B39DA"/>
    <w:rsid w:val="002B3ECA"/>
    <w:rsid w:val="002B3F0F"/>
    <w:rsid w:val="002B421E"/>
    <w:rsid w:val="002B44A1"/>
    <w:rsid w:val="002B4A50"/>
    <w:rsid w:val="002B4ACB"/>
    <w:rsid w:val="002B56BA"/>
    <w:rsid w:val="002B5718"/>
    <w:rsid w:val="002B5BB3"/>
    <w:rsid w:val="002B632E"/>
    <w:rsid w:val="002B634A"/>
    <w:rsid w:val="002B6768"/>
    <w:rsid w:val="002C08E6"/>
    <w:rsid w:val="002C1838"/>
    <w:rsid w:val="002C2041"/>
    <w:rsid w:val="002C25F1"/>
    <w:rsid w:val="002C279D"/>
    <w:rsid w:val="002C41B3"/>
    <w:rsid w:val="002C4BAE"/>
    <w:rsid w:val="002C4E20"/>
    <w:rsid w:val="002C6519"/>
    <w:rsid w:val="002D0BFB"/>
    <w:rsid w:val="002D1CBE"/>
    <w:rsid w:val="002D1D4E"/>
    <w:rsid w:val="002D1E42"/>
    <w:rsid w:val="002D273F"/>
    <w:rsid w:val="002D2745"/>
    <w:rsid w:val="002D30CF"/>
    <w:rsid w:val="002D508E"/>
    <w:rsid w:val="002D5219"/>
    <w:rsid w:val="002D57AF"/>
    <w:rsid w:val="002D6345"/>
    <w:rsid w:val="002D68BB"/>
    <w:rsid w:val="002D7743"/>
    <w:rsid w:val="002E028F"/>
    <w:rsid w:val="002E191A"/>
    <w:rsid w:val="002E1FF9"/>
    <w:rsid w:val="002E2267"/>
    <w:rsid w:val="002E2314"/>
    <w:rsid w:val="002E264F"/>
    <w:rsid w:val="002E3189"/>
    <w:rsid w:val="002E3794"/>
    <w:rsid w:val="002E3C35"/>
    <w:rsid w:val="002E461A"/>
    <w:rsid w:val="002E5677"/>
    <w:rsid w:val="002E665E"/>
    <w:rsid w:val="002E6D71"/>
    <w:rsid w:val="002E709F"/>
    <w:rsid w:val="002E71C2"/>
    <w:rsid w:val="002E73EB"/>
    <w:rsid w:val="002E7884"/>
    <w:rsid w:val="002E7A49"/>
    <w:rsid w:val="002E7E93"/>
    <w:rsid w:val="002F034D"/>
    <w:rsid w:val="002F0B6E"/>
    <w:rsid w:val="002F0D69"/>
    <w:rsid w:val="002F1298"/>
    <w:rsid w:val="002F13AE"/>
    <w:rsid w:val="002F15C6"/>
    <w:rsid w:val="002F1970"/>
    <w:rsid w:val="002F1F7A"/>
    <w:rsid w:val="002F211D"/>
    <w:rsid w:val="002F2293"/>
    <w:rsid w:val="002F288D"/>
    <w:rsid w:val="002F296B"/>
    <w:rsid w:val="002F2B51"/>
    <w:rsid w:val="002F2D53"/>
    <w:rsid w:val="002F4529"/>
    <w:rsid w:val="002F45C3"/>
    <w:rsid w:val="002F49C7"/>
    <w:rsid w:val="002F4FE2"/>
    <w:rsid w:val="002F5EBA"/>
    <w:rsid w:val="002F7B14"/>
    <w:rsid w:val="00300042"/>
    <w:rsid w:val="00300516"/>
    <w:rsid w:val="00300E08"/>
    <w:rsid w:val="00301547"/>
    <w:rsid w:val="00301AC0"/>
    <w:rsid w:val="0030206B"/>
    <w:rsid w:val="003023DF"/>
    <w:rsid w:val="0030276B"/>
    <w:rsid w:val="00303CFD"/>
    <w:rsid w:val="00303D18"/>
    <w:rsid w:val="00303FD9"/>
    <w:rsid w:val="00304485"/>
    <w:rsid w:val="00304819"/>
    <w:rsid w:val="00306624"/>
    <w:rsid w:val="003070CB"/>
    <w:rsid w:val="003107D1"/>
    <w:rsid w:val="00310A3E"/>
    <w:rsid w:val="0031194C"/>
    <w:rsid w:val="00312554"/>
    <w:rsid w:val="0031257C"/>
    <w:rsid w:val="00312D74"/>
    <w:rsid w:val="00313469"/>
    <w:rsid w:val="0031397F"/>
    <w:rsid w:val="0031433E"/>
    <w:rsid w:val="00314D0F"/>
    <w:rsid w:val="00314FDF"/>
    <w:rsid w:val="00315891"/>
    <w:rsid w:val="00315917"/>
    <w:rsid w:val="00315A6E"/>
    <w:rsid w:val="00316213"/>
    <w:rsid w:val="003163D5"/>
    <w:rsid w:val="00316506"/>
    <w:rsid w:val="00316A34"/>
    <w:rsid w:val="00316FB6"/>
    <w:rsid w:val="0031773D"/>
    <w:rsid w:val="003202ED"/>
    <w:rsid w:val="00321940"/>
    <w:rsid w:val="00321D50"/>
    <w:rsid w:val="003222C4"/>
    <w:rsid w:val="00322CA7"/>
    <w:rsid w:val="0032497D"/>
    <w:rsid w:val="00324CA1"/>
    <w:rsid w:val="003252CF"/>
    <w:rsid w:val="003264D7"/>
    <w:rsid w:val="00326B6A"/>
    <w:rsid w:val="00326E88"/>
    <w:rsid w:val="00327743"/>
    <w:rsid w:val="003277FD"/>
    <w:rsid w:val="00327A94"/>
    <w:rsid w:val="003305C9"/>
    <w:rsid w:val="00330CF2"/>
    <w:rsid w:val="00331142"/>
    <w:rsid w:val="00331533"/>
    <w:rsid w:val="003315CA"/>
    <w:rsid w:val="0033160C"/>
    <w:rsid w:val="003317C4"/>
    <w:rsid w:val="00331D8A"/>
    <w:rsid w:val="00332209"/>
    <w:rsid w:val="00333056"/>
    <w:rsid w:val="00333998"/>
    <w:rsid w:val="00333A44"/>
    <w:rsid w:val="003348E8"/>
    <w:rsid w:val="00334956"/>
    <w:rsid w:val="00334A39"/>
    <w:rsid w:val="00335EDA"/>
    <w:rsid w:val="00335EE9"/>
    <w:rsid w:val="00336E0F"/>
    <w:rsid w:val="0033773F"/>
    <w:rsid w:val="00340AEC"/>
    <w:rsid w:val="00341B51"/>
    <w:rsid w:val="003425D3"/>
    <w:rsid w:val="003432F4"/>
    <w:rsid w:val="00344576"/>
    <w:rsid w:val="00344DBA"/>
    <w:rsid w:val="00345BD7"/>
    <w:rsid w:val="0034684D"/>
    <w:rsid w:val="00346DC4"/>
    <w:rsid w:val="00346EBA"/>
    <w:rsid w:val="00347487"/>
    <w:rsid w:val="003477AC"/>
    <w:rsid w:val="00347D5B"/>
    <w:rsid w:val="00350E13"/>
    <w:rsid w:val="003510F4"/>
    <w:rsid w:val="00351453"/>
    <w:rsid w:val="00351D3C"/>
    <w:rsid w:val="00352148"/>
    <w:rsid w:val="003525F9"/>
    <w:rsid w:val="0035300F"/>
    <w:rsid w:val="003532E1"/>
    <w:rsid w:val="003543D8"/>
    <w:rsid w:val="003544D2"/>
    <w:rsid w:val="0035453B"/>
    <w:rsid w:val="00354927"/>
    <w:rsid w:val="003549D1"/>
    <w:rsid w:val="00355FA9"/>
    <w:rsid w:val="0035665E"/>
    <w:rsid w:val="00356C27"/>
    <w:rsid w:val="00357662"/>
    <w:rsid w:val="00357DCC"/>
    <w:rsid w:val="00360276"/>
    <w:rsid w:val="00360F9F"/>
    <w:rsid w:val="003610B1"/>
    <w:rsid w:val="00361426"/>
    <w:rsid w:val="00361A30"/>
    <w:rsid w:val="00361ED5"/>
    <w:rsid w:val="0036208F"/>
    <w:rsid w:val="003623C6"/>
    <w:rsid w:val="00363151"/>
    <w:rsid w:val="003659D6"/>
    <w:rsid w:val="00365B72"/>
    <w:rsid w:val="00366864"/>
    <w:rsid w:val="00370528"/>
    <w:rsid w:val="00370FA7"/>
    <w:rsid w:val="00371727"/>
    <w:rsid w:val="0037329E"/>
    <w:rsid w:val="00373892"/>
    <w:rsid w:val="0037398A"/>
    <w:rsid w:val="003751AE"/>
    <w:rsid w:val="003764FD"/>
    <w:rsid w:val="00376886"/>
    <w:rsid w:val="00376A4D"/>
    <w:rsid w:val="00377299"/>
    <w:rsid w:val="00377449"/>
    <w:rsid w:val="00377B00"/>
    <w:rsid w:val="00380304"/>
    <w:rsid w:val="00380685"/>
    <w:rsid w:val="0038082D"/>
    <w:rsid w:val="00380ABF"/>
    <w:rsid w:val="00381398"/>
    <w:rsid w:val="003818A8"/>
    <w:rsid w:val="00381F7A"/>
    <w:rsid w:val="003825BC"/>
    <w:rsid w:val="00382700"/>
    <w:rsid w:val="00382F0D"/>
    <w:rsid w:val="003833BA"/>
    <w:rsid w:val="00383F7A"/>
    <w:rsid w:val="00384072"/>
    <w:rsid w:val="00384A6F"/>
    <w:rsid w:val="00384B32"/>
    <w:rsid w:val="00384DED"/>
    <w:rsid w:val="0038502E"/>
    <w:rsid w:val="00385046"/>
    <w:rsid w:val="003865D7"/>
    <w:rsid w:val="00386C27"/>
    <w:rsid w:val="00390498"/>
    <w:rsid w:val="003906FE"/>
    <w:rsid w:val="003911BA"/>
    <w:rsid w:val="00391510"/>
    <w:rsid w:val="00392192"/>
    <w:rsid w:val="0039240C"/>
    <w:rsid w:val="00392DBB"/>
    <w:rsid w:val="00392ED5"/>
    <w:rsid w:val="003930C5"/>
    <w:rsid w:val="00393459"/>
    <w:rsid w:val="003935AA"/>
    <w:rsid w:val="00393601"/>
    <w:rsid w:val="00393669"/>
    <w:rsid w:val="00394173"/>
    <w:rsid w:val="00394564"/>
    <w:rsid w:val="00394887"/>
    <w:rsid w:val="0039593D"/>
    <w:rsid w:val="00396426"/>
    <w:rsid w:val="00396EF0"/>
    <w:rsid w:val="00397284"/>
    <w:rsid w:val="00397571"/>
    <w:rsid w:val="00397A13"/>
    <w:rsid w:val="00397B6B"/>
    <w:rsid w:val="003A00A3"/>
    <w:rsid w:val="003A00D5"/>
    <w:rsid w:val="003A03D3"/>
    <w:rsid w:val="003A1559"/>
    <w:rsid w:val="003A22B5"/>
    <w:rsid w:val="003A270A"/>
    <w:rsid w:val="003A291E"/>
    <w:rsid w:val="003A2EBC"/>
    <w:rsid w:val="003A2EC9"/>
    <w:rsid w:val="003A3069"/>
    <w:rsid w:val="003A3B95"/>
    <w:rsid w:val="003A3C8B"/>
    <w:rsid w:val="003A44AD"/>
    <w:rsid w:val="003A577D"/>
    <w:rsid w:val="003A5C68"/>
    <w:rsid w:val="003A5E5A"/>
    <w:rsid w:val="003A5E5D"/>
    <w:rsid w:val="003A606F"/>
    <w:rsid w:val="003B027E"/>
    <w:rsid w:val="003B04C0"/>
    <w:rsid w:val="003B1084"/>
    <w:rsid w:val="003B1725"/>
    <w:rsid w:val="003B2FED"/>
    <w:rsid w:val="003B3538"/>
    <w:rsid w:val="003B3551"/>
    <w:rsid w:val="003B3936"/>
    <w:rsid w:val="003B3ADC"/>
    <w:rsid w:val="003B5E16"/>
    <w:rsid w:val="003C05F8"/>
    <w:rsid w:val="003C0B31"/>
    <w:rsid w:val="003C16C1"/>
    <w:rsid w:val="003C1A61"/>
    <w:rsid w:val="003C1A6E"/>
    <w:rsid w:val="003C2506"/>
    <w:rsid w:val="003C2C06"/>
    <w:rsid w:val="003C2C27"/>
    <w:rsid w:val="003C3CE0"/>
    <w:rsid w:val="003C3E8C"/>
    <w:rsid w:val="003C44E6"/>
    <w:rsid w:val="003C47D5"/>
    <w:rsid w:val="003C498D"/>
    <w:rsid w:val="003C5378"/>
    <w:rsid w:val="003C57DD"/>
    <w:rsid w:val="003C5A4E"/>
    <w:rsid w:val="003C5D64"/>
    <w:rsid w:val="003C606C"/>
    <w:rsid w:val="003C6696"/>
    <w:rsid w:val="003C681C"/>
    <w:rsid w:val="003C713F"/>
    <w:rsid w:val="003C7CDB"/>
    <w:rsid w:val="003C7E6B"/>
    <w:rsid w:val="003D0206"/>
    <w:rsid w:val="003D0238"/>
    <w:rsid w:val="003D02C6"/>
    <w:rsid w:val="003D15F9"/>
    <w:rsid w:val="003D1D92"/>
    <w:rsid w:val="003D1DED"/>
    <w:rsid w:val="003D25C1"/>
    <w:rsid w:val="003D278F"/>
    <w:rsid w:val="003D32D0"/>
    <w:rsid w:val="003D3A28"/>
    <w:rsid w:val="003D41FE"/>
    <w:rsid w:val="003D4BD0"/>
    <w:rsid w:val="003D66F6"/>
    <w:rsid w:val="003D6987"/>
    <w:rsid w:val="003D7171"/>
    <w:rsid w:val="003D75BA"/>
    <w:rsid w:val="003D789F"/>
    <w:rsid w:val="003D7C97"/>
    <w:rsid w:val="003E3E58"/>
    <w:rsid w:val="003E3E69"/>
    <w:rsid w:val="003E3F10"/>
    <w:rsid w:val="003E3FEE"/>
    <w:rsid w:val="003E5A0D"/>
    <w:rsid w:val="003E5C6D"/>
    <w:rsid w:val="003E695D"/>
    <w:rsid w:val="003E71A5"/>
    <w:rsid w:val="003E727B"/>
    <w:rsid w:val="003E79C0"/>
    <w:rsid w:val="003F035C"/>
    <w:rsid w:val="003F0E30"/>
    <w:rsid w:val="003F1605"/>
    <w:rsid w:val="003F18AA"/>
    <w:rsid w:val="003F1D8A"/>
    <w:rsid w:val="003F241A"/>
    <w:rsid w:val="003F26F8"/>
    <w:rsid w:val="003F2BBB"/>
    <w:rsid w:val="003F2D0E"/>
    <w:rsid w:val="003F2E3B"/>
    <w:rsid w:val="003F3333"/>
    <w:rsid w:val="003F455F"/>
    <w:rsid w:val="003F46D5"/>
    <w:rsid w:val="003F4A7A"/>
    <w:rsid w:val="003F4EF1"/>
    <w:rsid w:val="003F5C28"/>
    <w:rsid w:val="003F5F2E"/>
    <w:rsid w:val="003F78A0"/>
    <w:rsid w:val="003F7B52"/>
    <w:rsid w:val="00400305"/>
    <w:rsid w:val="00400444"/>
    <w:rsid w:val="0040134A"/>
    <w:rsid w:val="00401A79"/>
    <w:rsid w:val="00402D63"/>
    <w:rsid w:val="00404116"/>
    <w:rsid w:val="004058AD"/>
    <w:rsid w:val="00405A06"/>
    <w:rsid w:val="004066DE"/>
    <w:rsid w:val="00406EE7"/>
    <w:rsid w:val="00407CC7"/>
    <w:rsid w:val="004103E4"/>
    <w:rsid w:val="0041135E"/>
    <w:rsid w:val="004114EE"/>
    <w:rsid w:val="00411C44"/>
    <w:rsid w:val="00412357"/>
    <w:rsid w:val="00412B53"/>
    <w:rsid w:val="00413711"/>
    <w:rsid w:val="004143A3"/>
    <w:rsid w:val="004145A8"/>
    <w:rsid w:val="004146E3"/>
    <w:rsid w:val="00414C8B"/>
    <w:rsid w:val="00414E48"/>
    <w:rsid w:val="0041535F"/>
    <w:rsid w:val="004153F1"/>
    <w:rsid w:val="00415578"/>
    <w:rsid w:val="00415AF7"/>
    <w:rsid w:val="0041684F"/>
    <w:rsid w:val="00417E64"/>
    <w:rsid w:val="00420A85"/>
    <w:rsid w:val="00422F91"/>
    <w:rsid w:val="004237C6"/>
    <w:rsid w:val="00423852"/>
    <w:rsid w:val="00423A00"/>
    <w:rsid w:val="004248EC"/>
    <w:rsid w:val="00424A53"/>
    <w:rsid w:val="00425021"/>
    <w:rsid w:val="00425A54"/>
    <w:rsid w:val="004272DB"/>
    <w:rsid w:val="00430279"/>
    <w:rsid w:val="0043048A"/>
    <w:rsid w:val="004309E1"/>
    <w:rsid w:val="004313E3"/>
    <w:rsid w:val="0043165B"/>
    <w:rsid w:val="00431E9C"/>
    <w:rsid w:val="004324EC"/>
    <w:rsid w:val="00433E30"/>
    <w:rsid w:val="00433E7E"/>
    <w:rsid w:val="00434026"/>
    <w:rsid w:val="00435EF5"/>
    <w:rsid w:val="004366C1"/>
    <w:rsid w:val="00437023"/>
    <w:rsid w:val="00437794"/>
    <w:rsid w:val="00437D78"/>
    <w:rsid w:val="0044099A"/>
    <w:rsid w:val="00441B08"/>
    <w:rsid w:val="00441B85"/>
    <w:rsid w:val="00441BEA"/>
    <w:rsid w:val="00442372"/>
    <w:rsid w:val="00442413"/>
    <w:rsid w:val="004427ED"/>
    <w:rsid w:val="00442AF1"/>
    <w:rsid w:val="00442CCA"/>
    <w:rsid w:val="00442D30"/>
    <w:rsid w:val="004436DF"/>
    <w:rsid w:val="00444127"/>
    <w:rsid w:val="00444B6E"/>
    <w:rsid w:val="00445FEC"/>
    <w:rsid w:val="004470DF"/>
    <w:rsid w:val="00447420"/>
    <w:rsid w:val="004478E6"/>
    <w:rsid w:val="00447C7A"/>
    <w:rsid w:val="00447E9F"/>
    <w:rsid w:val="00450CAA"/>
    <w:rsid w:val="00450FC7"/>
    <w:rsid w:val="00451BAE"/>
    <w:rsid w:val="00451CA9"/>
    <w:rsid w:val="00452021"/>
    <w:rsid w:val="00453ACA"/>
    <w:rsid w:val="004540E8"/>
    <w:rsid w:val="004551BA"/>
    <w:rsid w:val="00455E3C"/>
    <w:rsid w:val="00455F4E"/>
    <w:rsid w:val="0045603A"/>
    <w:rsid w:val="00456461"/>
    <w:rsid w:val="00456F97"/>
    <w:rsid w:val="0045725B"/>
    <w:rsid w:val="00457951"/>
    <w:rsid w:val="004609C8"/>
    <w:rsid w:val="0046225F"/>
    <w:rsid w:val="004639F6"/>
    <w:rsid w:val="00463B2C"/>
    <w:rsid w:val="00464243"/>
    <w:rsid w:val="00464EA6"/>
    <w:rsid w:val="00465737"/>
    <w:rsid w:val="00465A03"/>
    <w:rsid w:val="00465CF3"/>
    <w:rsid w:val="00465F53"/>
    <w:rsid w:val="004665E5"/>
    <w:rsid w:val="004678D9"/>
    <w:rsid w:val="0047000F"/>
    <w:rsid w:val="004704A1"/>
    <w:rsid w:val="004708D8"/>
    <w:rsid w:val="00470BD3"/>
    <w:rsid w:val="00470E03"/>
    <w:rsid w:val="00471684"/>
    <w:rsid w:val="00472675"/>
    <w:rsid w:val="004731E0"/>
    <w:rsid w:val="00473A93"/>
    <w:rsid w:val="00474447"/>
    <w:rsid w:val="00474F36"/>
    <w:rsid w:val="00475703"/>
    <w:rsid w:val="00475CA3"/>
    <w:rsid w:val="0047612A"/>
    <w:rsid w:val="0047655B"/>
    <w:rsid w:val="00476867"/>
    <w:rsid w:val="00476CF3"/>
    <w:rsid w:val="0047736C"/>
    <w:rsid w:val="004774CE"/>
    <w:rsid w:val="0047755F"/>
    <w:rsid w:val="00477CD3"/>
    <w:rsid w:val="00480443"/>
    <w:rsid w:val="00480A73"/>
    <w:rsid w:val="00480C7B"/>
    <w:rsid w:val="00482030"/>
    <w:rsid w:val="004821F7"/>
    <w:rsid w:val="004827F7"/>
    <w:rsid w:val="00482974"/>
    <w:rsid w:val="00482AD6"/>
    <w:rsid w:val="004846A7"/>
    <w:rsid w:val="00484802"/>
    <w:rsid w:val="004848A3"/>
    <w:rsid w:val="00484A43"/>
    <w:rsid w:val="00484AB8"/>
    <w:rsid w:val="004851B3"/>
    <w:rsid w:val="00485966"/>
    <w:rsid w:val="00486242"/>
    <w:rsid w:val="004868A0"/>
    <w:rsid w:val="0048697B"/>
    <w:rsid w:val="00486EB6"/>
    <w:rsid w:val="00487261"/>
    <w:rsid w:val="004874F3"/>
    <w:rsid w:val="00487BD6"/>
    <w:rsid w:val="00487BF4"/>
    <w:rsid w:val="00490438"/>
    <w:rsid w:val="004906C8"/>
    <w:rsid w:val="00490C9F"/>
    <w:rsid w:val="0049129B"/>
    <w:rsid w:val="004915D6"/>
    <w:rsid w:val="004918A3"/>
    <w:rsid w:val="00491E73"/>
    <w:rsid w:val="00492651"/>
    <w:rsid w:val="00492A30"/>
    <w:rsid w:val="00492BED"/>
    <w:rsid w:val="00492E98"/>
    <w:rsid w:val="00492EB9"/>
    <w:rsid w:val="00493261"/>
    <w:rsid w:val="00493997"/>
    <w:rsid w:val="004943B0"/>
    <w:rsid w:val="00495502"/>
    <w:rsid w:val="00495929"/>
    <w:rsid w:val="0049687E"/>
    <w:rsid w:val="00496AAC"/>
    <w:rsid w:val="00496B81"/>
    <w:rsid w:val="00497265"/>
    <w:rsid w:val="004A0E85"/>
    <w:rsid w:val="004A1291"/>
    <w:rsid w:val="004A1620"/>
    <w:rsid w:val="004A17AB"/>
    <w:rsid w:val="004A18B0"/>
    <w:rsid w:val="004A1CAF"/>
    <w:rsid w:val="004A1E57"/>
    <w:rsid w:val="004A22C3"/>
    <w:rsid w:val="004A2427"/>
    <w:rsid w:val="004A26CE"/>
    <w:rsid w:val="004A2759"/>
    <w:rsid w:val="004A30D2"/>
    <w:rsid w:val="004A316C"/>
    <w:rsid w:val="004A3190"/>
    <w:rsid w:val="004A35D0"/>
    <w:rsid w:val="004A47C4"/>
    <w:rsid w:val="004A4E2C"/>
    <w:rsid w:val="004A4E98"/>
    <w:rsid w:val="004A62C4"/>
    <w:rsid w:val="004A65E7"/>
    <w:rsid w:val="004A6CC8"/>
    <w:rsid w:val="004A6EC2"/>
    <w:rsid w:val="004B0564"/>
    <w:rsid w:val="004B0895"/>
    <w:rsid w:val="004B0A82"/>
    <w:rsid w:val="004B0E88"/>
    <w:rsid w:val="004B0FC5"/>
    <w:rsid w:val="004B16DF"/>
    <w:rsid w:val="004B18D1"/>
    <w:rsid w:val="004B2163"/>
    <w:rsid w:val="004B22DE"/>
    <w:rsid w:val="004B2C40"/>
    <w:rsid w:val="004B3A76"/>
    <w:rsid w:val="004B542F"/>
    <w:rsid w:val="004B5571"/>
    <w:rsid w:val="004B5A42"/>
    <w:rsid w:val="004B7D6C"/>
    <w:rsid w:val="004B7F06"/>
    <w:rsid w:val="004B7FC6"/>
    <w:rsid w:val="004C156E"/>
    <w:rsid w:val="004C1997"/>
    <w:rsid w:val="004C1C70"/>
    <w:rsid w:val="004C1DC9"/>
    <w:rsid w:val="004C2B12"/>
    <w:rsid w:val="004C430D"/>
    <w:rsid w:val="004C51D3"/>
    <w:rsid w:val="004C61AE"/>
    <w:rsid w:val="004C6D63"/>
    <w:rsid w:val="004C7A4A"/>
    <w:rsid w:val="004D1300"/>
    <w:rsid w:val="004D15EB"/>
    <w:rsid w:val="004D1952"/>
    <w:rsid w:val="004D25E9"/>
    <w:rsid w:val="004D2D4E"/>
    <w:rsid w:val="004D2E00"/>
    <w:rsid w:val="004D569D"/>
    <w:rsid w:val="004D5AC6"/>
    <w:rsid w:val="004D5C50"/>
    <w:rsid w:val="004D6117"/>
    <w:rsid w:val="004D66BD"/>
    <w:rsid w:val="004D6A3E"/>
    <w:rsid w:val="004D6E1F"/>
    <w:rsid w:val="004D752B"/>
    <w:rsid w:val="004D79D5"/>
    <w:rsid w:val="004D7A6C"/>
    <w:rsid w:val="004E01CD"/>
    <w:rsid w:val="004E0723"/>
    <w:rsid w:val="004E072E"/>
    <w:rsid w:val="004E0E34"/>
    <w:rsid w:val="004E1B2A"/>
    <w:rsid w:val="004E1DE2"/>
    <w:rsid w:val="004E258B"/>
    <w:rsid w:val="004E278B"/>
    <w:rsid w:val="004E3694"/>
    <w:rsid w:val="004E3E1B"/>
    <w:rsid w:val="004E48FE"/>
    <w:rsid w:val="004E5243"/>
    <w:rsid w:val="004E5619"/>
    <w:rsid w:val="004E5E6C"/>
    <w:rsid w:val="004E62A9"/>
    <w:rsid w:val="004E6709"/>
    <w:rsid w:val="004E73D3"/>
    <w:rsid w:val="004E799B"/>
    <w:rsid w:val="004E7E30"/>
    <w:rsid w:val="004F04C8"/>
    <w:rsid w:val="004F058A"/>
    <w:rsid w:val="004F0EA4"/>
    <w:rsid w:val="004F1580"/>
    <w:rsid w:val="004F1F6C"/>
    <w:rsid w:val="004F2218"/>
    <w:rsid w:val="004F2AB9"/>
    <w:rsid w:val="004F2C3F"/>
    <w:rsid w:val="004F2E8D"/>
    <w:rsid w:val="004F37DE"/>
    <w:rsid w:val="004F39D3"/>
    <w:rsid w:val="004F4198"/>
    <w:rsid w:val="004F4421"/>
    <w:rsid w:val="004F4BEC"/>
    <w:rsid w:val="004F56A6"/>
    <w:rsid w:val="004F5863"/>
    <w:rsid w:val="004F611D"/>
    <w:rsid w:val="004F65C4"/>
    <w:rsid w:val="004F682C"/>
    <w:rsid w:val="004F68D6"/>
    <w:rsid w:val="004F6AF9"/>
    <w:rsid w:val="004F6C7F"/>
    <w:rsid w:val="005006F3"/>
    <w:rsid w:val="005012AB"/>
    <w:rsid w:val="005018A2"/>
    <w:rsid w:val="00501A9B"/>
    <w:rsid w:val="00501C2A"/>
    <w:rsid w:val="00502DCA"/>
    <w:rsid w:val="0050306A"/>
    <w:rsid w:val="005032BE"/>
    <w:rsid w:val="00503B3B"/>
    <w:rsid w:val="0050442E"/>
    <w:rsid w:val="00506538"/>
    <w:rsid w:val="005074B6"/>
    <w:rsid w:val="00507983"/>
    <w:rsid w:val="005104EC"/>
    <w:rsid w:val="00511388"/>
    <w:rsid w:val="005113B7"/>
    <w:rsid w:val="00512007"/>
    <w:rsid w:val="00512692"/>
    <w:rsid w:val="00512C45"/>
    <w:rsid w:val="00513170"/>
    <w:rsid w:val="005137A4"/>
    <w:rsid w:val="00513B0B"/>
    <w:rsid w:val="00513DB5"/>
    <w:rsid w:val="00514674"/>
    <w:rsid w:val="00514858"/>
    <w:rsid w:val="00515189"/>
    <w:rsid w:val="005155A7"/>
    <w:rsid w:val="0051567E"/>
    <w:rsid w:val="005158E0"/>
    <w:rsid w:val="00516368"/>
    <w:rsid w:val="005165B3"/>
    <w:rsid w:val="00516779"/>
    <w:rsid w:val="00516943"/>
    <w:rsid w:val="0051743E"/>
    <w:rsid w:val="00517F75"/>
    <w:rsid w:val="005209E2"/>
    <w:rsid w:val="00521F58"/>
    <w:rsid w:val="0052225F"/>
    <w:rsid w:val="005223BE"/>
    <w:rsid w:val="00522928"/>
    <w:rsid w:val="00522E28"/>
    <w:rsid w:val="00524F25"/>
    <w:rsid w:val="00525205"/>
    <w:rsid w:val="00525233"/>
    <w:rsid w:val="00525276"/>
    <w:rsid w:val="00525B5B"/>
    <w:rsid w:val="00525D51"/>
    <w:rsid w:val="0052717F"/>
    <w:rsid w:val="00530A90"/>
    <w:rsid w:val="0053100B"/>
    <w:rsid w:val="005319B7"/>
    <w:rsid w:val="00531FBF"/>
    <w:rsid w:val="00531FCE"/>
    <w:rsid w:val="0053323E"/>
    <w:rsid w:val="005334A2"/>
    <w:rsid w:val="00533E30"/>
    <w:rsid w:val="00534014"/>
    <w:rsid w:val="005342B7"/>
    <w:rsid w:val="005345E9"/>
    <w:rsid w:val="005349F6"/>
    <w:rsid w:val="00535964"/>
    <w:rsid w:val="00535A47"/>
    <w:rsid w:val="00535B68"/>
    <w:rsid w:val="00535B83"/>
    <w:rsid w:val="0053653C"/>
    <w:rsid w:val="0053737D"/>
    <w:rsid w:val="0053766D"/>
    <w:rsid w:val="00537B47"/>
    <w:rsid w:val="0054057E"/>
    <w:rsid w:val="005410F8"/>
    <w:rsid w:val="00541787"/>
    <w:rsid w:val="00541B56"/>
    <w:rsid w:val="00541B69"/>
    <w:rsid w:val="00541C80"/>
    <w:rsid w:val="00541FAA"/>
    <w:rsid w:val="005423F1"/>
    <w:rsid w:val="00542E7B"/>
    <w:rsid w:val="005438FE"/>
    <w:rsid w:val="00543987"/>
    <w:rsid w:val="00543FEA"/>
    <w:rsid w:val="00544D6D"/>
    <w:rsid w:val="0054564F"/>
    <w:rsid w:val="00545D58"/>
    <w:rsid w:val="005465A4"/>
    <w:rsid w:val="00546693"/>
    <w:rsid w:val="00546A22"/>
    <w:rsid w:val="00546B3B"/>
    <w:rsid w:val="00547010"/>
    <w:rsid w:val="00550930"/>
    <w:rsid w:val="005519E7"/>
    <w:rsid w:val="00551DBC"/>
    <w:rsid w:val="00552371"/>
    <w:rsid w:val="005527B2"/>
    <w:rsid w:val="00553C15"/>
    <w:rsid w:val="005550C9"/>
    <w:rsid w:val="005551F0"/>
    <w:rsid w:val="005557D0"/>
    <w:rsid w:val="00556963"/>
    <w:rsid w:val="00556B56"/>
    <w:rsid w:val="00557309"/>
    <w:rsid w:val="00557376"/>
    <w:rsid w:val="005607D9"/>
    <w:rsid w:val="00562487"/>
    <w:rsid w:val="00562826"/>
    <w:rsid w:val="00562C00"/>
    <w:rsid w:val="0056395B"/>
    <w:rsid w:val="005642D9"/>
    <w:rsid w:val="00564400"/>
    <w:rsid w:val="00564C1E"/>
    <w:rsid w:val="00565520"/>
    <w:rsid w:val="005658F3"/>
    <w:rsid w:val="005659CA"/>
    <w:rsid w:val="00565F3C"/>
    <w:rsid w:val="005663C1"/>
    <w:rsid w:val="005676F6"/>
    <w:rsid w:val="0057046D"/>
    <w:rsid w:val="005709AC"/>
    <w:rsid w:val="00571614"/>
    <w:rsid w:val="0057164F"/>
    <w:rsid w:val="00571715"/>
    <w:rsid w:val="00572136"/>
    <w:rsid w:val="00572B53"/>
    <w:rsid w:val="00572CCD"/>
    <w:rsid w:val="00573A34"/>
    <w:rsid w:val="00573C82"/>
    <w:rsid w:val="00573D9C"/>
    <w:rsid w:val="00574392"/>
    <w:rsid w:val="0057537D"/>
    <w:rsid w:val="005759F0"/>
    <w:rsid w:val="005764D2"/>
    <w:rsid w:val="00576A68"/>
    <w:rsid w:val="00576BEB"/>
    <w:rsid w:val="00576FB4"/>
    <w:rsid w:val="00581E73"/>
    <w:rsid w:val="0058238E"/>
    <w:rsid w:val="0058240A"/>
    <w:rsid w:val="005827D0"/>
    <w:rsid w:val="00582BAF"/>
    <w:rsid w:val="005837C8"/>
    <w:rsid w:val="0058380C"/>
    <w:rsid w:val="0058442B"/>
    <w:rsid w:val="005847C8"/>
    <w:rsid w:val="00585810"/>
    <w:rsid w:val="00585873"/>
    <w:rsid w:val="00585D94"/>
    <w:rsid w:val="005866A6"/>
    <w:rsid w:val="00586FB0"/>
    <w:rsid w:val="00587C51"/>
    <w:rsid w:val="00587E79"/>
    <w:rsid w:val="00590B72"/>
    <w:rsid w:val="005928E8"/>
    <w:rsid w:val="00592C1D"/>
    <w:rsid w:val="00592F5B"/>
    <w:rsid w:val="00593164"/>
    <w:rsid w:val="005938C6"/>
    <w:rsid w:val="00593F25"/>
    <w:rsid w:val="00594235"/>
    <w:rsid w:val="0059443F"/>
    <w:rsid w:val="0059480A"/>
    <w:rsid w:val="005954DB"/>
    <w:rsid w:val="00595755"/>
    <w:rsid w:val="005962C4"/>
    <w:rsid w:val="0059662F"/>
    <w:rsid w:val="00596C57"/>
    <w:rsid w:val="00597FA1"/>
    <w:rsid w:val="005A0446"/>
    <w:rsid w:val="005A0CBE"/>
    <w:rsid w:val="005A12F8"/>
    <w:rsid w:val="005A1618"/>
    <w:rsid w:val="005A198D"/>
    <w:rsid w:val="005A2432"/>
    <w:rsid w:val="005A248D"/>
    <w:rsid w:val="005A2AFC"/>
    <w:rsid w:val="005A3CAB"/>
    <w:rsid w:val="005A4073"/>
    <w:rsid w:val="005A467E"/>
    <w:rsid w:val="005A4FAD"/>
    <w:rsid w:val="005A544E"/>
    <w:rsid w:val="005A59AF"/>
    <w:rsid w:val="005A616F"/>
    <w:rsid w:val="005A6246"/>
    <w:rsid w:val="005A6B6A"/>
    <w:rsid w:val="005A7203"/>
    <w:rsid w:val="005A724E"/>
    <w:rsid w:val="005A72FE"/>
    <w:rsid w:val="005A7B0D"/>
    <w:rsid w:val="005A7C07"/>
    <w:rsid w:val="005B000B"/>
    <w:rsid w:val="005B0AC1"/>
    <w:rsid w:val="005B1059"/>
    <w:rsid w:val="005B1588"/>
    <w:rsid w:val="005B1E55"/>
    <w:rsid w:val="005B21A2"/>
    <w:rsid w:val="005B25BA"/>
    <w:rsid w:val="005B27F0"/>
    <w:rsid w:val="005B2986"/>
    <w:rsid w:val="005B2A3A"/>
    <w:rsid w:val="005B3094"/>
    <w:rsid w:val="005B3A52"/>
    <w:rsid w:val="005B4667"/>
    <w:rsid w:val="005B623B"/>
    <w:rsid w:val="005B7E10"/>
    <w:rsid w:val="005C027C"/>
    <w:rsid w:val="005C063B"/>
    <w:rsid w:val="005C0850"/>
    <w:rsid w:val="005C0EB3"/>
    <w:rsid w:val="005C0F74"/>
    <w:rsid w:val="005C1270"/>
    <w:rsid w:val="005C14F7"/>
    <w:rsid w:val="005C1647"/>
    <w:rsid w:val="005C2774"/>
    <w:rsid w:val="005C33FE"/>
    <w:rsid w:val="005C37BB"/>
    <w:rsid w:val="005C3826"/>
    <w:rsid w:val="005C39D8"/>
    <w:rsid w:val="005C3BB5"/>
    <w:rsid w:val="005C3EEA"/>
    <w:rsid w:val="005C5090"/>
    <w:rsid w:val="005C561B"/>
    <w:rsid w:val="005C56D2"/>
    <w:rsid w:val="005C5866"/>
    <w:rsid w:val="005C6273"/>
    <w:rsid w:val="005C65EE"/>
    <w:rsid w:val="005C67B7"/>
    <w:rsid w:val="005C6A43"/>
    <w:rsid w:val="005C6E7A"/>
    <w:rsid w:val="005D038C"/>
    <w:rsid w:val="005D0580"/>
    <w:rsid w:val="005D101A"/>
    <w:rsid w:val="005D1637"/>
    <w:rsid w:val="005D1C4B"/>
    <w:rsid w:val="005D22C5"/>
    <w:rsid w:val="005D2805"/>
    <w:rsid w:val="005D2823"/>
    <w:rsid w:val="005D2BC6"/>
    <w:rsid w:val="005D3720"/>
    <w:rsid w:val="005D4FE7"/>
    <w:rsid w:val="005D71C8"/>
    <w:rsid w:val="005D74B1"/>
    <w:rsid w:val="005D7E37"/>
    <w:rsid w:val="005E08B4"/>
    <w:rsid w:val="005E1997"/>
    <w:rsid w:val="005E1DB0"/>
    <w:rsid w:val="005E20B2"/>
    <w:rsid w:val="005E26CC"/>
    <w:rsid w:val="005E2F70"/>
    <w:rsid w:val="005E352A"/>
    <w:rsid w:val="005E4D89"/>
    <w:rsid w:val="005E5B1A"/>
    <w:rsid w:val="005E5C5D"/>
    <w:rsid w:val="005E5C70"/>
    <w:rsid w:val="005E5CDC"/>
    <w:rsid w:val="005E6100"/>
    <w:rsid w:val="005E7248"/>
    <w:rsid w:val="005E7A3B"/>
    <w:rsid w:val="005E7DF5"/>
    <w:rsid w:val="005F0C44"/>
    <w:rsid w:val="005F1613"/>
    <w:rsid w:val="005F1656"/>
    <w:rsid w:val="005F1BFF"/>
    <w:rsid w:val="005F1D26"/>
    <w:rsid w:val="005F2195"/>
    <w:rsid w:val="005F22B2"/>
    <w:rsid w:val="005F2EB6"/>
    <w:rsid w:val="005F3240"/>
    <w:rsid w:val="005F3DC0"/>
    <w:rsid w:val="005F4139"/>
    <w:rsid w:val="005F47D5"/>
    <w:rsid w:val="005F531B"/>
    <w:rsid w:val="005F5442"/>
    <w:rsid w:val="005F55DA"/>
    <w:rsid w:val="005F5674"/>
    <w:rsid w:val="005F635B"/>
    <w:rsid w:val="005F63CD"/>
    <w:rsid w:val="005F65E6"/>
    <w:rsid w:val="005F66BB"/>
    <w:rsid w:val="005F6DCB"/>
    <w:rsid w:val="005F6ED4"/>
    <w:rsid w:val="005F7408"/>
    <w:rsid w:val="0060007B"/>
    <w:rsid w:val="00600171"/>
    <w:rsid w:val="00600631"/>
    <w:rsid w:val="0060131B"/>
    <w:rsid w:val="00601CC9"/>
    <w:rsid w:val="00602460"/>
    <w:rsid w:val="00603AA6"/>
    <w:rsid w:val="00603E90"/>
    <w:rsid w:val="006046F7"/>
    <w:rsid w:val="00604738"/>
    <w:rsid w:val="00604D2B"/>
    <w:rsid w:val="006058AE"/>
    <w:rsid w:val="00605BDC"/>
    <w:rsid w:val="006068BB"/>
    <w:rsid w:val="00606918"/>
    <w:rsid w:val="00607323"/>
    <w:rsid w:val="0060737E"/>
    <w:rsid w:val="00610D19"/>
    <w:rsid w:val="00610E8D"/>
    <w:rsid w:val="00610EAF"/>
    <w:rsid w:val="00610EB0"/>
    <w:rsid w:val="0061136B"/>
    <w:rsid w:val="00611443"/>
    <w:rsid w:val="00612821"/>
    <w:rsid w:val="006128BD"/>
    <w:rsid w:val="006132A3"/>
    <w:rsid w:val="006144E3"/>
    <w:rsid w:val="00614538"/>
    <w:rsid w:val="00614DF2"/>
    <w:rsid w:val="00615283"/>
    <w:rsid w:val="006154FD"/>
    <w:rsid w:val="0061642C"/>
    <w:rsid w:val="00616540"/>
    <w:rsid w:val="00616965"/>
    <w:rsid w:val="00616D11"/>
    <w:rsid w:val="0061723E"/>
    <w:rsid w:val="00617A17"/>
    <w:rsid w:val="00617BC7"/>
    <w:rsid w:val="00620BFC"/>
    <w:rsid w:val="006210E1"/>
    <w:rsid w:val="00622238"/>
    <w:rsid w:val="0062251B"/>
    <w:rsid w:val="006225B3"/>
    <w:rsid w:val="00622B16"/>
    <w:rsid w:val="00622B97"/>
    <w:rsid w:val="006243C0"/>
    <w:rsid w:val="00624D95"/>
    <w:rsid w:val="0062528B"/>
    <w:rsid w:val="00625462"/>
    <w:rsid w:val="00625BCE"/>
    <w:rsid w:val="00625D77"/>
    <w:rsid w:val="006266ED"/>
    <w:rsid w:val="00627153"/>
    <w:rsid w:val="00627449"/>
    <w:rsid w:val="006276C3"/>
    <w:rsid w:val="00627866"/>
    <w:rsid w:val="00627DAD"/>
    <w:rsid w:val="00627F7C"/>
    <w:rsid w:val="0063037C"/>
    <w:rsid w:val="006318E3"/>
    <w:rsid w:val="00631907"/>
    <w:rsid w:val="00632305"/>
    <w:rsid w:val="00632561"/>
    <w:rsid w:val="00632E22"/>
    <w:rsid w:val="00632FD5"/>
    <w:rsid w:val="0063305C"/>
    <w:rsid w:val="006349C5"/>
    <w:rsid w:val="00634A1B"/>
    <w:rsid w:val="006356C6"/>
    <w:rsid w:val="00635D68"/>
    <w:rsid w:val="00636916"/>
    <w:rsid w:val="00636EEB"/>
    <w:rsid w:val="00637EF9"/>
    <w:rsid w:val="006432CD"/>
    <w:rsid w:val="00643FD5"/>
    <w:rsid w:val="00644AD2"/>
    <w:rsid w:val="00644ED9"/>
    <w:rsid w:val="00644F76"/>
    <w:rsid w:val="00645350"/>
    <w:rsid w:val="00645C50"/>
    <w:rsid w:val="0064627B"/>
    <w:rsid w:val="00646A13"/>
    <w:rsid w:val="00646A82"/>
    <w:rsid w:val="00647243"/>
    <w:rsid w:val="006500FA"/>
    <w:rsid w:val="00651423"/>
    <w:rsid w:val="00651823"/>
    <w:rsid w:val="0065186E"/>
    <w:rsid w:val="00652628"/>
    <w:rsid w:val="006530F6"/>
    <w:rsid w:val="00653214"/>
    <w:rsid w:val="006532A6"/>
    <w:rsid w:val="00653439"/>
    <w:rsid w:val="00653734"/>
    <w:rsid w:val="00653FF7"/>
    <w:rsid w:val="0065429D"/>
    <w:rsid w:val="00657133"/>
    <w:rsid w:val="0066043C"/>
    <w:rsid w:val="00660760"/>
    <w:rsid w:val="006611C4"/>
    <w:rsid w:val="00661DA3"/>
    <w:rsid w:val="00661F63"/>
    <w:rsid w:val="0066287E"/>
    <w:rsid w:val="0066304E"/>
    <w:rsid w:val="00663962"/>
    <w:rsid w:val="00663E43"/>
    <w:rsid w:val="006652BC"/>
    <w:rsid w:val="00665DA3"/>
    <w:rsid w:val="00666D21"/>
    <w:rsid w:val="00666FFE"/>
    <w:rsid w:val="00667691"/>
    <w:rsid w:val="00667F76"/>
    <w:rsid w:val="006702D7"/>
    <w:rsid w:val="006706FB"/>
    <w:rsid w:val="00670B43"/>
    <w:rsid w:val="00670EBF"/>
    <w:rsid w:val="00672184"/>
    <w:rsid w:val="00672C38"/>
    <w:rsid w:val="0067344A"/>
    <w:rsid w:val="0067367F"/>
    <w:rsid w:val="00673BBC"/>
    <w:rsid w:val="006741B6"/>
    <w:rsid w:val="00674590"/>
    <w:rsid w:val="0067523E"/>
    <w:rsid w:val="0067592C"/>
    <w:rsid w:val="006764B9"/>
    <w:rsid w:val="00676996"/>
    <w:rsid w:val="00676CEF"/>
    <w:rsid w:val="00677342"/>
    <w:rsid w:val="00680477"/>
    <w:rsid w:val="00680961"/>
    <w:rsid w:val="00680990"/>
    <w:rsid w:val="006812B2"/>
    <w:rsid w:val="006820A5"/>
    <w:rsid w:val="006823BE"/>
    <w:rsid w:val="0068335B"/>
    <w:rsid w:val="00683CCA"/>
    <w:rsid w:val="00683EDC"/>
    <w:rsid w:val="006842CE"/>
    <w:rsid w:val="00684700"/>
    <w:rsid w:val="006850F7"/>
    <w:rsid w:val="00685613"/>
    <w:rsid w:val="0068590C"/>
    <w:rsid w:val="00685A22"/>
    <w:rsid w:val="0068643B"/>
    <w:rsid w:val="00686CDB"/>
    <w:rsid w:val="00687138"/>
    <w:rsid w:val="0068732E"/>
    <w:rsid w:val="0068752A"/>
    <w:rsid w:val="006879F2"/>
    <w:rsid w:val="006912EF"/>
    <w:rsid w:val="00691E0C"/>
    <w:rsid w:val="00692006"/>
    <w:rsid w:val="006921C1"/>
    <w:rsid w:val="006921D9"/>
    <w:rsid w:val="00692387"/>
    <w:rsid w:val="006930D9"/>
    <w:rsid w:val="006932D3"/>
    <w:rsid w:val="00693786"/>
    <w:rsid w:val="006943FB"/>
    <w:rsid w:val="00694562"/>
    <w:rsid w:val="0069472A"/>
    <w:rsid w:val="00694896"/>
    <w:rsid w:val="00694C2C"/>
    <w:rsid w:val="00694E30"/>
    <w:rsid w:val="00695A5C"/>
    <w:rsid w:val="00696F08"/>
    <w:rsid w:val="006979B1"/>
    <w:rsid w:val="006A0A5A"/>
    <w:rsid w:val="006A1AAC"/>
    <w:rsid w:val="006A1E47"/>
    <w:rsid w:val="006A33E9"/>
    <w:rsid w:val="006A34E3"/>
    <w:rsid w:val="006A43B2"/>
    <w:rsid w:val="006A4C48"/>
    <w:rsid w:val="006A5873"/>
    <w:rsid w:val="006A5D73"/>
    <w:rsid w:val="006A62EB"/>
    <w:rsid w:val="006A694D"/>
    <w:rsid w:val="006A7AE6"/>
    <w:rsid w:val="006B01FF"/>
    <w:rsid w:val="006B03C6"/>
    <w:rsid w:val="006B1574"/>
    <w:rsid w:val="006B22AB"/>
    <w:rsid w:val="006B3A09"/>
    <w:rsid w:val="006B4F12"/>
    <w:rsid w:val="006B5AC1"/>
    <w:rsid w:val="006B63EE"/>
    <w:rsid w:val="006B6F16"/>
    <w:rsid w:val="006B718E"/>
    <w:rsid w:val="006B734C"/>
    <w:rsid w:val="006B7D01"/>
    <w:rsid w:val="006C02B8"/>
    <w:rsid w:val="006C069C"/>
    <w:rsid w:val="006C1C65"/>
    <w:rsid w:val="006C1E10"/>
    <w:rsid w:val="006C1E8C"/>
    <w:rsid w:val="006C23F3"/>
    <w:rsid w:val="006C2DDF"/>
    <w:rsid w:val="006C338F"/>
    <w:rsid w:val="006C3690"/>
    <w:rsid w:val="006C37F9"/>
    <w:rsid w:val="006C498F"/>
    <w:rsid w:val="006C5608"/>
    <w:rsid w:val="006C5FDF"/>
    <w:rsid w:val="006C698D"/>
    <w:rsid w:val="006C74E3"/>
    <w:rsid w:val="006C7978"/>
    <w:rsid w:val="006C7C28"/>
    <w:rsid w:val="006D0D31"/>
    <w:rsid w:val="006D0ED8"/>
    <w:rsid w:val="006D1310"/>
    <w:rsid w:val="006D1839"/>
    <w:rsid w:val="006D1AEE"/>
    <w:rsid w:val="006D1B06"/>
    <w:rsid w:val="006D1C64"/>
    <w:rsid w:val="006D1C7E"/>
    <w:rsid w:val="006D35F2"/>
    <w:rsid w:val="006D38D9"/>
    <w:rsid w:val="006D439F"/>
    <w:rsid w:val="006D440F"/>
    <w:rsid w:val="006D491A"/>
    <w:rsid w:val="006D5281"/>
    <w:rsid w:val="006D5F35"/>
    <w:rsid w:val="006D6632"/>
    <w:rsid w:val="006D6903"/>
    <w:rsid w:val="006D6914"/>
    <w:rsid w:val="006D6EB3"/>
    <w:rsid w:val="006D74CC"/>
    <w:rsid w:val="006D7B78"/>
    <w:rsid w:val="006D7D02"/>
    <w:rsid w:val="006E104E"/>
    <w:rsid w:val="006E189E"/>
    <w:rsid w:val="006E19F7"/>
    <w:rsid w:val="006E241F"/>
    <w:rsid w:val="006E3230"/>
    <w:rsid w:val="006E4FAA"/>
    <w:rsid w:val="006E5101"/>
    <w:rsid w:val="006E526C"/>
    <w:rsid w:val="006E5290"/>
    <w:rsid w:val="006E56F4"/>
    <w:rsid w:val="006E5775"/>
    <w:rsid w:val="006E63D4"/>
    <w:rsid w:val="006E7BA1"/>
    <w:rsid w:val="006E7F16"/>
    <w:rsid w:val="006F0C74"/>
    <w:rsid w:val="006F0DC0"/>
    <w:rsid w:val="006F1341"/>
    <w:rsid w:val="006F2DBF"/>
    <w:rsid w:val="006F4078"/>
    <w:rsid w:val="006F40A8"/>
    <w:rsid w:val="006F4247"/>
    <w:rsid w:val="006F4985"/>
    <w:rsid w:val="006F4B6B"/>
    <w:rsid w:val="006F4BD6"/>
    <w:rsid w:val="006F4DAD"/>
    <w:rsid w:val="006F5569"/>
    <w:rsid w:val="006F612F"/>
    <w:rsid w:val="006F621E"/>
    <w:rsid w:val="006F6862"/>
    <w:rsid w:val="006F79B0"/>
    <w:rsid w:val="0070099B"/>
    <w:rsid w:val="007011CE"/>
    <w:rsid w:val="00701B48"/>
    <w:rsid w:val="00701F45"/>
    <w:rsid w:val="00703162"/>
    <w:rsid w:val="00704426"/>
    <w:rsid w:val="00704556"/>
    <w:rsid w:val="007054DE"/>
    <w:rsid w:val="007057D0"/>
    <w:rsid w:val="00705E6F"/>
    <w:rsid w:val="00705FFD"/>
    <w:rsid w:val="00706D13"/>
    <w:rsid w:val="00706D3A"/>
    <w:rsid w:val="007074BE"/>
    <w:rsid w:val="007078AE"/>
    <w:rsid w:val="00707EA8"/>
    <w:rsid w:val="00707FB5"/>
    <w:rsid w:val="007107E4"/>
    <w:rsid w:val="00710E81"/>
    <w:rsid w:val="00711D93"/>
    <w:rsid w:val="00712617"/>
    <w:rsid w:val="00712786"/>
    <w:rsid w:val="007127C1"/>
    <w:rsid w:val="007136E6"/>
    <w:rsid w:val="0071387A"/>
    <w:rsid w:val="0071449C"/>
    <w:rsid w:val="00714799"/>
    <w:rsid w:val="00714CE2"/>
    <w:rsid w:val="00714DEA"/>
    <w:rsid w:val="00717A55"/>
    <w:rsid w:val="00720A3B"/>
    <w:rsid w:val="00720CA1"/>
    <w:rsid w:val="00721E3B"/>
    <w:rsid w:val="0072246E"/>
    <w:rsid w:val="0072307D"/>
    <w:rsid w:val="00723177"/>
    <w:rsid w:val="0072338A"/>
    <w:rsid w:val="0072344A"/>
    <w:rsid w:val="00723B7D"/>
    <w:rsid w:val="00723C2C"/>
    <w:rsid w:val="00724326"/>
    <w:rsid w:val="007247E8"/>
    <w:rsid w:val="0072532F"/>
    <w:rsid w:val="0072590E"/>
    <w:rsid w:val="00726267"/>
    <w:rsid w:val="00726AE5"/>
    <w:rsid w:val="007272D4"/>
    <w:rsid w:val="007278D2"/>
    <w:rsid w:val="00727A87"/>
    <w:rsid w:val="0073007C"/>
    <w:rsid w:val="007309D5"/>
    <w:rsid w:val="00730A45"/>
    <w:rsid w:val="00730C26"/>
    <w:rsid w:val="0073116B"/>
    <w:rsid w:val="00731DD0"/>
    <w:rsid w:val="00731E5A"/>
    <w:rsid w:val="00732069"/>
    <w:rsid w:val="007324E0"/>
    <w:rsid w:val="007327BA"/>
    <w:rsid w:val="007328C3"/>
    <w:rsid w:val="00732B84"/>
    <w:rsid w:val="00733AB5"/>
    <w:rsid w:val="00734288"/>
    <w:rsid w:val="00734B24"/>
    <w:rsid w:val="00734E3E"/>
    <w:rsid w:val="007356E6"/>
    <w:rsid w:val="007356FD"/>
    <w:rsid w:val="00735AC8"/>
    <w:rsid w:val="00735B92"/>
    <w:rsid w:val="007362C8"/>
    <w:rsid w:val="00736508"/>
    <w:rsid w:val="00736D15"/>
    <w:rsid w:val="00737847"/>
    <w:rsid w:val="00737F72"/>
    <w:rsid w:val="00740922"/>
    <w:rsid w:val="00740F0D"/>
    <w:rsid w:val="00741819"/>
    <w:rsid w:val="00741B4A"/>
    <w:rsid w:val="007422C7"/>
    <w:rsid w:val="00742A27"/>
    <w:rsid w:val="00742D85"/>
    <w:rsid w:val="00743439"/>
    <w:rsid w:val="00744CD6"/>
    <w:rsid w:val="007450A6"/>
    <w:rsid w:val="0074571F"/>
    <w:rsid w:val="00746F1A"/>
    <w:rsid w:val="00750385"/>
    <w:rsid w:val="00750521"/>
    <w:rsid w:val="007508D3"/>
    <w:rsid w:val="00750CD7"/>
    <w:rsid w:val="007511C1"/>
    <w:rsid w:val="0075129A"/>
    <w:rsid w:val="00752838"/>
    <w:rsid w:val="007532C1"/>
    <w:rsid w:val="00753636"/>
    <w:rsid w:val="00754422"/>
    <w:rsid w:val="0075546D"/>
    <w:rsid w:val="00755977"/>
    <w:rsid w:val="00755EC4"/>
    <w:rsid w:val="0075601B"/>
    <w:rsid w:val="00756F96"/>
    <w:rsid w:val="007571E5"/>
    <w:rsid w:val="00757784"/>
    <w:rsid w:val="00757B32"/>
    <w:rsid w:val="00760BF7"/>
    <w:rsid w:val="00760DC7"/>
    <w:rsid w:val="00760E6A"/>
    <w:rsid w:val="00760EFB"/>
    <w:rsid w:val="00761103"/>
    <w:rsid w:val="00762205"/>
    <w:rsid w:val="00762D71"/>
    <w:rsid w:val="00762D81"/>
    <w:rsid w:val="00763266"/>
    <w:rsid w:val="007652BC"/>
    <w:rsid w:val="007661D0"/>
    <w:rsid w:val="00766218"/>
    <w:rsid w:val="007663FC"/>
    <w:rsid w:val="00766F9A"/>
    <w:rsid w:val="0076731F"/>
    <w:rsid w:val="00767B39"/>
    <w:rsid w:val="0077031C"/>
    <w:rsid w:val="0077049A"/>
    <w:rsid w:val="00770714"/>
    <w:rsid w:val="00770D13"/>
    <w:rsid w:val="00770F99"/>
    <w:rsid w:val="0077142E"/>
    <w:rsid w:val="0077184E"/>
    <w:rsid w:val="00772316"/>
    <w:rsid w:val="00772339"/>
    <w:rsid w:val="007732EE"/>
    <w:rsid w:val="007739CD"/>
    <w:rsid w:val="00773DAF"/>
    <w:rsid w:val="00774129"/>
    <w:rsid w:val="007743F2"/>
    <w:rsid w:val="00775154"/>
    <w:rsid w:val="00775ACA"/>
    <w:rsid w:val="00776937"/>
    <w:rsid w:val="00776DA2"/>
    <w:rsid w:val="0077715C"/>
    <w:rsid w:val="0077725A"/>
    <w:rsid w:val="00777685"/>
    <w:rsid w:val="0078084A"/>
    <w:rsid w:val="00780E3D"/>
    <w:rsid w:val="00780EC3"/>
    <w:rsid w:val="00781A28"/>
    <w:rsid w:val="007821B4"/>
    <w:rsid w:val="0078293C"/>
    <w:rsid w:val="0078299E"/>
    <w:rsid w:val="00783124"/>
    <w:rsid w:val="00783341"/>
    <w:rsid w:val="0078359C"/>
    <w:rsid w:val="00783893"/>
    <w:rsid w:val="00783B29"/>
    <w:rsid w:val="00783EFC"/>
    <w:rsid w:val="00784160"/>
    <w:rsid w:val="00785311"/>
    <w:rsid w:val="007853C7"/>
    <w:rsid w:val="0078571F"/>
    <w:rsid w:val="007860AD"/>
    <w:rsid w:val="00786266"/>
    <w:rsid w:val="00786EEF"/>
    <w:rsid w:val="00791B99"/>
    <w:rsid w:val="00791E15"/>
    <w:rsid w:val="007927C0"/>
    <w:rsid w:val="0079441D"/>
    <w:rsid w:val="00795160"/>
    <w:rsid w:val="007958A2"/>
    <w:rsid w:val="007968B1"/>
    <w:rsid w:val="00796A66"/>
    <w:rsid w:val="00796D22"/>
    <w:rsid w:val="00797A80"/>
    <w:rsid w:val="007A0187"/>
    <w:rsid w:val="007A062B"/>
    <w:rsid w:val="007A0905"/>
    <w:rsid w:val="007A1653"/>
    <w:rsid w:val="007A1E5B"/>
    <w:rsid w:val="007A24CC"/>
    <w:rsid w:val="007A2766"/>
    <w:rsid w:val="007A2CE8"/>
    <w:rsid w:val="007A3244"/>
    <w:rsid w:val="007A388D"/>
    <w:rsid w:val="007A4215"/>
    <w:rsid w:val="007A4568"/>
    <w:rsid w:val="007A4CC7"/>
    <w:rsid w:val="007A4F30"/>
    <w:rsid w:val="007A5087"/>
    <w:rsid w:val="007A5E19"/>
    <w:rsid w:val="007A66B7"/>
    <w:rsid w:val="007A6A80"/>
    <w:rsid w:val="007A7894"/>
    <w:rsid w:val="007B0020"/>
    <w:rsid w:val="007B0247"/>
    <w:rsid w:val="007B0B31"/>
    <w:rsid w:val="007B1ADA"/>
    <w:rsid w:val="007B1C8C"/>
    <w:rsid w:val="007B26BF"/>
    <w:rsid w:val="007B31B6"/>
    <w:rsid w:val="007B3865"/>
    <w:rsid w:val="007B38D4"/>
    <w:rsid w:val="007B3ADC"/>
    <w:rsid w:val="007B3EA4"/>
    <w:rsid w:val="007B514B"/>
    <w:rsid w:val="007B515B"/>
    <w:rsid w:val="007B51F2"/>
    <w:rsid w:val="007B5AF5"/>
    <w:rsid w:val="007B6610"/>
    <w:rsid w:val="007B7817"/>
    <w:rsid w:val="007B78BE"/>
    <w:rsid w:val="007B7CA5"/>
    <w:rsid w:val="007C0580"/>
    <w:rsid w:val="007C059A"/>
    <w:rsid w:val="007C0779"/>
    <w:rsid w:val="007C0B8F"/>
    <w:rsid w:val="007C120A"/>
    <w:rsid w:val="007C1EAA"/>
    <w:rsid w:val="007C2620"/>
    <w:rsid w:val="007C2F64"/>
    <w:rsid w:val="007C4A3B"/>
    <w:rsid w:val="007C549B"/>
    <w:rsid w:val="007C5A2E"/>
    <w:rsid w:val="007C5FF1"/>
    <w:rsid w:val="007C699A"/>
    <w:rsid w:val="007C6F44"/>
    <w:rsid w:val="007C72A4"/>
    <w:rsid w:val="007C73C8"/>
    <w:rsid w:val="007C7829"/>
    <w:rsid w:val="007C788E"/>
    <w:rsid w:val="007C7BBB"/>
    <w:rsid w:val="007D0BC3"/>
    <w:rsid w:val="007D132A"/>
    <w:rsid w:val="007D1728"/>
    <w:rsid w:val="007D1C70"/>
    <w:rsid w:val="007D27BE"/>
    <w:rsid w:val="007D29B7"/>
    <w:rsid w:val="007D3004"/>
    <w:rsid w:val="007D31DC"/>
    <w:rsid w:val="007D3926"/>
    <w:rsid w:val="007D3B27"/>
    <w:rsid w:val="007D4C44"/>
    <w:rsid w:val="007D4DBE"/>
    <w:rsid w:val="007D5CB1"/>
    <w:rsid w:val="007D6182"/>
    <w:rsid w:val="007D68DD"/>
    <w:rsid w:val="007D73C4"/>
    <w:rsid w:val="007D7AAC"/>
    <w:rsid w:val="007E0352"/>
    <w:rsid w:val="007E0D84"/>
    <w:rsid w:val="007E1957"/>
    <w:rsid w:val="007E1964"/>
    <w:rsid w:val="007E1ED6"/>
    <w:rsid w:val="007E1F14"/>
    <w:rsid w:val="007E2099"/>
    <w:rsid w:val="007E23FF"/>
    <w:rsid w:val="007E3A0F"/>
    <w:rsid w:val="007E500F"/>
    <w:rsid w:val="007E565A"/>
    <w:rsid w:val="007E5C17"/>
    <w:rsid w:val="007E62C0"/>
    <w:rsid w:val="007E653B"/>
    <w:rsid w:val="007E7050"/>
    <w:rsid w:val="007E74EF"/>
    <w:rsid w:val="007E766C"/>
    <w:rsid w:val="007E7F70"/>
    <w:rsid w:val="007F0356"/>
    <w:rsid w:val="007F106A"/>
    <w:rsid w:val="007F12CB"/>
    <w:rsid w:val="007F1980"/>
    <w:rsid w:val="007F1B74"/>
    <w:rsid w:val="007F1C0B"/>
    <w:rsid w:val="007F1F84"/>
    <w:rsid w:val="007F21F8"/>
    <w:rsid w:val="007F2919"/>
    <w:rsid w:val="007F3C3E"/>
    <w:rsid w:val="007F4BC8"/>
    <w:rsid w:val="007F5216"/>
    <w:rsid w:val="007F541E"/>
    <w:rsid w:val="007F5709"/>
    <w:rsid w:val="007F583D"/>
    <w:rsid w:val="007F5E4C"/>
    <w:rsid w:val="007F62E8"/>
    <w:rsid w:val="007F687D"/>
    <w:rsid w:val="007F78A2"/>
    <w:rsid w:val="007F7BBF"/>
    <w:rsid w:val="008000B5"/>
    <w:rsid w:val="00800183"/>
    <w:rsid w:val="008002BB"/>
    <w:rsid w:val="00800373"/>
    <w:rsid w:val="0080091A"/>
    <w:rsid w:val="00800BC2"/>
    <w:rsid w:val="00800D50"/>
    <w:rsid w:val="00801570"/>
    <w:rsid w:val="008017BC"/>
    <w:rsid w:val="00801C9B"/>
    <w:rsid w:val="00801E0C"/>
    <w:rsid w:val="008039E9"/>
    <w:rsid w:val="008041C4"/>
    <w:rsid w:val="0080484C"/>
    <w:rsid w:val="00804B2B"/>
    <w:rsid w:val="00804C96"/>
    <w:rsid w:val="0080546A"/>
    <w:rsid w:val="00805615"/>
    <w:rsid w:val="0080565B"/>
    <w:rsid w:val="00805CCA"/>
    <w:rsid w:val="00805E9C"/>
    <w:rsid w:val="0080659F"/>
    <w:rsid w:val="00806B54"/>
    <w:rsid w:val="00806E72"/>
    <w:rsid w:val="008071D1"/>
    <w:rsid w:val="0080734F"/>
    <w:rsid w:val="0080791B"/>
    <w:rsid w:val="00807929"/>
    <w:rsid w:val="008079B7"/>
    <w:rsid w:val="00807C23"/>
    <w:rsid w:val="00807C2A"/>
    <w:rsid w:val="0081153D"/>
    <w:rsid w:val="008115BE"/>
    <w:rsid w:val="0081204A"/>
    <w:rsid w:val="0081273A"/>
    <w:rsid w:val="00813800"/>
    <w:rsid w:val="00813F00"/>
    <w:rsid w:val="00814E70"/>
    <w:rsid w:val="0081563F"/>
    <w:rsid w:val="008158D9"/>
    <w:rsid w:val="00815BB7"/>
    <w:rsid w:val="00815D09"/>
    <w:rsid w:val="008165C3"/>
    <w:rsid w:val="00816829"/>
    <w:rsid w:val="00816BF4"/>
    <w:rsid w:val="00816FFD"/>
    <w:rsid w:val="00817500"/>
    <w:rsid w:val="00821014"/>
    <w:rsid w:val="0082122C"/>
    <w:rsid w:val="00821B4D"/>
    <w:rsid w:val="00821E8C"/>
    <w:rsid w:val="00821F54"/>
    <w:rsid w:val="00822653"/>
    <w:rsid w:val="00822885"/>
    <w:rsid w:val="0082322E"/>
    <w:rsid w:val="00823C3F"/>
    <w:rsid w:val="008246DB"/>
    <w:rsid w:val="00824999"/>
    <w:rsid w:val="00825E5E"/>
    <w:rsid w:val="0082634D"/>
    <w:rsid w:val="0082648A"/>
    <w:rsid w:val="00826640"/>
    <w:rsid w:val="00826EEF"/>
    <w:rsid w:val="00830E42"/>
    <w:rsid w:val="0083163B"/>
    <w:rsid w:val="0083251A"/>
    <w:rsid w:val="00832BCC"/>
    <w:rsid w:val="00832F4C"/>
    <w:rsid w:val="00833167"/>
    <w:rsid w:val="0083334C"/>
    <w:rsid w:val="00833C19"/>
    <w:rsid w:val="00834363"/>
    <w:rsid w:val="008347B7"/>
    <w:rsid w:val="0083491A"/>
    <w:rsid w:val="00834AA7"/>
    <w:rsid w:val="008353A3"/>
    <w:rsid w:val="00835B90"/>
    <w:rsid w:val="00835F65"/>
    <w:rsid w:val="008361FA"/>
    <w:rsid w:val="00837248"/>
    <w:rsid w:val="0083727D"/>
    <w:rsid w:val="0083734E"/>
    <w:rsid w:val="0083751E"/>
    <w:rsid w:val="00837523"/>
    <w:rsid w:val="00840BBB"/>
    <w:rsid w:val="00840BF7"/>
    <w:rsid w:val="00840CE5"/>
    <w:rsid w:val="00840ED8"/>
    <w:rsid w:val="008412C8"/>
    <w:rsid w:val="008413D7"/>
    <w:rsid w:val="008418A0"/>
    <w:rsid w:val="0084312E"/>
    <w:rsid w:val="00843552"/>
    <w:rsid w:val="008436C5"/>
    <w:rsid w:val="008443D9"/>
    <w:rsid w:val="0084493A"/>
    <w:rsid w:val="00844E8F"/>
    <w:rsid w:val="00845137"/>
    <w:rsid w:val="008451A1"/>
    <w:rsid w:val="00845A2E"/>
    <w:rsid w:val="008462EF"/>
    <w:rsid w:val="00847A76"/>
    <w:rsid w:val="00847D02"/>
    <w:rsid w:val="00850167"/>
    <w:rsid w:val="008504D0"/>
    <w:rsid w:val="008507C9"/>
    <w:rsid w:val="00851D8C"/>
    <w:rsid w:val="00851F9D"/>
    <w:rsid w:val="00852844"/>
    <w:rsid w:val="0085474D"/>
    <w:rsid w:val="00855544"/>
    <w:rsid w:val="008563F0"/>
    <w:rsid w:val="0085642E"/>
    <w:rsid w:val="0085663E"/>
    <w:rsid w:val="00856971"/>
    <w:rsid w:val="00857C05"/>
    <w:rsid w:val="00860AFE"/>
    <w:rsid w:val="0086128B"/>
    <w:rsid w:val="0086128E"/>
    <w:rsid w:val="0086151A"/>
    <w:rsid w:val="00861A68"/>
    <w:rsid w:val="00862235"/>
    <w:rsid w:val="0086238C"/>
    <w:rsid w:val="00862849"/>
    <w:rsid w:val="00863265"/>
    <w:rsid w:val="008632C5"/>
    <w:rsid w:val="008635CA"/>
    <w:rsid w:val="008637C9"/>
    <w:rsid w:val="00863CC5"/>
    <w:rsid w:val="0086401A"/>
    <w:rsid w:val="00864A83"/>
    <w:rsid w:val="00864C01"/>
    <w:rsid w:val="00864DF9"/>
    <w:rsid w:val="00865E99"/>
    <w:rsid w:val="008662C6"/>
    <w:rsid w:val="0086666D"/>
    <w:rsid w:val="00866AE2"/>
    <w:rsid w:val="00866F98"/>
    <w:rsid w:val="00867160"/>
    <w:rsid w:val="00867582"/>
    <w:rsid w:val="00867ACC"/>
    <w:rsid w:val="008706CC"/>
    <w:rsid w:val="00870841"/>
    <w:rsid w:val="008712D4"/>
    <w:rsid w:val="00871551"/>
    <w:rsid w:val="0087176F"/>
    <w:rsid w:val="008719B8"/>
    <w:rsid w:val="00871CA4"/>
    <w:rsid w:val="00872080"/>
    <w:rsid w:val="00872230"/>
    <w:rsid w:val="0087292F"/>
    <w:rsid w:val="00872930"/>
    <w:rsid w:val="00872B81"/>
    <w:rsid w:val="00872BD9"/>
    <w:rsid w:val="00873406"/>
    <w:rsid w:val="00873FB1"/>
    <w:rsid w:val="008742CF"/>
    <w:rsid w:val="00874414"/>
    <w:rsid w:val="00874488"/>
    <w:rsid w:val="008744C7"/>
    <w:rsid w:val="008749BA"/>
    <w:rsid w:val="0087513D"/>
    <w:rsid w:val="008753FB"/>
    <w:rsid w:val="00876270"/>
    <w:rsid w:val="00876424"/>
    <w:rsid w:val="00877742"/>
    <w:rsid w:val="00877E7E"/>
    <w:rsid w:val="00880319"/>
    <w:rsid w:val="00880356"/>
    <w:rsid w:val="008806E5"/>
    <w:rsid w:val="0088076C"/>
    <w:rsid w:val="00880DAE"/>
    <w:rsid w:val="008815B3"/>
    <w:rsid w:val="00881F1A"/>
    <w:rsid w:val="00881FF5"/>
    <w:rsid w:val="008822C8"/>
    <w:rsid w:val="0088309C"/>
    <w:rsid w:val="00883784"/>
    <w:rsid w:val="00883BBA"/>
    <w:rsid w:val="008842C6"/>
    <w:rsid w:val="00884621"/>
    <w:rsid w:val="00884B98"/>
    <w:rsid w:val="008852C4"/>
    <w:rsid w:val="008857BA"/>
    <w:rsid w:val="00885970"/>
    <w:rsid w:val="00885A91"/>
    <w:rsid w:val="00885CB4"/>
    <w:rsid w:val="008860BF"/>
    <w:rsid w:val="00886C7F"/>
    <w:rsid w:val="008872E8"/>
    <w:rsid w:val="00887CEF"/>
    <w:rsid w:val="0089070B"/>
    <w:rsid w:val="0089092D"/>
    <w:rsid w:val="00890F5A"/>
    <w:rsid w:val="00891769"/>
    <w:rsid w:val="00891EAE"/>
    <w:rsid w:val="008926E0"/>
    <w:rsid w:val="00892873"/>
    <w:rsid w:val="0089365D"/>
    <w:rsid w:val="008945D4"/>
    <w:rsid w:val="00894776"/>
    <w:rsid w:val="00894CC9"/>
    <w:rsid w:val="008960B1"/>
    <w:rsid w:val="00896242"/>
    <w:rsid w:val="00896788"/>
    <w:rsid w:val="00896851"/>
    <w:rsid w:val="00896D49"/>
    <w:rsid w:val="008973C9"/>
    <w:rsid w:val="00897A8C"/>
    <w:rsid w:val="00897E0E"/>
    <w:rsid w:val="00897F43"/>
    <w:rsid w:val="008A0199"/>
    <w:rsid w:val="008A0E31"/>
    <w:rsid w:val="008A14F5"/>
    <w:rsid w:val="008A1587"/>
    <w:rsid w:val="008A1731"/>
    <w:rsid w:val="008A1F6A"/>
    <w:rsid w:val="008A212A"/>
    <w:rsid w:val="008A2640"/>
    <w:rsid w:val="008A31DC"/>
    <w:rsid w:val="008A4284"/>
    <w:rsid w:val="008A440D"/>
    <w:rsid w:val="008A4A84"/>
    <w:rsid w:val="008A4CE5"/>
    <w:rsid w:val="008A4E32"/>
    <w:rsid w:val="008A5688"/>
    <w:rsid w:val="008A5C47"/>
    <w:rsid w:val="008A655A"/>
    <w:rsid w:val="008A68B0"/>
    <w:rsid w:val="008A7029"/>
    <w:rsid w:val="008A7156"/>
    <w:rsid w:val="008A7253"/>
    <w:rsid w:val="008A7D9A"/>
    <w:rsid w:val="008B0923"/>
    <w:rsid w:val="008B0C15"/>
    <w:rsid w:val="008B0CC8"/>
    <w:rsid w:val="008B1761"/>
    <w:rsid w:val="008B1B72"/>
    <w:rsid w:val="008B2452"/>
    <w:rsid w:val="008B3157"/>
    <w:rsid w:val="008B482F"/>
    <w:rsid w:val="008B49FC"/>
    <w:rsid w:val="008B4AD7"/>
    <w:rsid w:val="008B680C"/>
    <w:rsid w:val="008B6928"/>
    <w:rsid w:val="008B6E7D"/>
    <w:rsid w:val="008B6F1F"/>
    <w:rsid w:val="008B7565"/>
    <w:rsid w:val="008B784C"/>
    <w:rsid w:val="008C0596"/>
    <w:rsid w:val="008C11C1"/>
    <w:rsid w:val="008C185E"/>
    <w:rsid w:val="008C1BF1"/>
    <w:rsid w:val="008C1F5F"/>
    <w:rsid w:val="008C2094"/>
    <w:rsid w:val="008C2651"/>
    <w:rsid w:val="008C3364"/>
    <w:rsid w:val="008C344A"/>
    <w:rsid w:val="008C383E"/>
    <w:rsid w:val="008C3938"/>
    <w:rsid w:val="008C3B61"/>
    <w:rsid w:val="008C3E0B"/>
    <w:rsid w:val="008C3FAA"/>
    <w:rsid w:val="008C3FBF"/>
    <w:rsid w:val="008C53D7"/>
    <w:rsid w:val="008C54C1"/>
    <w:rsid w:val="008C55F5"/>
    <w:rsid w:val="008C5DE3"/>
    <w:rsid w:val="008C6A0A"/>
    <w:rsid w:val="008C7439"/>
    <w:rsid w:val="008C786F"/>
    <w:rsid w:val="008C7C91"/>
    <w:rsid w:val="008D013F"/>
    <w:rsid w:val="008D014D"/>
    <w:rsid w:val="008D0438"/>
    <w:rsid w:val="008D0EBE"/>
    <w:rsid w:val="008D1D81"/>
    <w:rsid w:val="008D26AB"/>
    <w:rsid w:val="008D2A47"/>
    <w:rsid w:val="008D2E0A"/>
    <w:rsid w:val="008D3268"/>
    <w:rsid w:val="008D459E"/>
    <w:rsid w:val="008D4ED5"/>
    <w:rsid w:val="008D50C0"/>
    <w:rsid w:val="008D51FE"/>
    <w:rsid w:val="008D5659"/>
    <w:rsid w:val="008D59F6"/>
    <w:rsid w:val="008D5A90"/>
    <w:rsid w:val="008D5E50"/>
    <w:rsid w:val="008D696E"/>
    <w:rsid w:val="008D6D51"/>
    <w:rsid w:val="008D7C7C"/>
    <w:rsid w:val="008E00A3"/>
    <w:rsid w:val="008E01BC"/>
    <w:rsid w:val="008E0A07"/>
    <w:rsid w:val="008E12C8"/>
    <w:rsid w:val="008E16BF"/>
    <w:rsid w:val="008E172C"/>
    <w:rsid w:val="008E1E43"/>
    <w:rsid w:val="008E1E65"/>
    <w:rsid w:val="008E1F01"/>
    <w:rsid w:val="008E2045"/>
    <w:rsid w:val="008E26C1"/>
    <w:rsid w:val="008E2866"/>
    <w:rsid w:val="008E2968"/>
    <w:rsid w:val="008E2A13"/>
    <w:rsid w:val="008E31BB"/>
    <w:rsid w:val="008E3664"/>
    <w:rsid w:val="008E49A9"/>
    <w:rsid w:val="008E4C0F"/>
    <w:rsid w:val="008E5E96"/>
    <w:rsid w:val="008E62B1"/>
    <w:rsid w:val="008E756D"/>
    <w:rsid w:val="008E772A"/>
    <w:rsid w:val="008E77DE"/>
    <w:rsid w:val="008E77FD"/>
    <w:rsid w:val="008E7D3C"/>
    <w:rsid w:val="008E7E3A"/>
    <w:rsid w:val="008E7E88"/>
    <w:rsid w:val="008F0658"/>
    <w:rsid w:val="008F1E18"/>
    <w:rsid w:val="008F1F0C"/>
    <w:rsid w:val="008F2662"/>
    <w:rsid w:val="008F3DD9"/>
    <w:rsid w:val="008F4E88"/>
    <w:rsid w:val="008F56AF"/>
    <w:rsid w:val="008F5B2B"/>
    <w:rsid w:val="008F5FEA"/>
    <w:rsid w:val="008F63E0"/>
    <w:rsid w:val="008F63F4"/>
    <w:rsid w:val="008F6515"/>
    <w:rsid w:val="008F6A41"/>
    <w:rsid w:val="008F7D44"/>
    <w:rsid w:val="009001E5"/>
    <w:rsid w:val="00900253"/>
    <w:rsid w:val="00900752"/>
    <w:rsid w:val="009010A1"/>
    <w:rsid w:val="0090114E"/>
    <w:rsid w:val="00901FAE"/>
    <w:rsid w:val="00902A82"/>
    <w:rsid w:val="00904896"/>
    <w:rsid w:val="00904C8E"/>
    <w:rsid w:val="0090565D"/>
    <w:rsid w:val="00905B94"/>
    <w:rsid w:val="0090609C"/>
    <w:rsid w:val="00906684"/>
    <w:rsid w:val="009066DC"/>
    <w:rsid w:val="0090759F"/>
    <w:rsid w:val="009077CB"/>
    <w:rsid w:val="00907D13"/>
    <w:rsid w:val="009122AC"/>
    <w:rsid w:val="00913B13"/>
    <w:rsid w:val="009143F4"/>
    <w:rsid w:val="009146F2"/>
    <w:rsid w:val="0091492C"/>
    <w:rsid w:val="00915410"/>
    <w:rsid w:val="00915982"/>
    <w:rsid w:val="00915B1A"/>
    <w:rsid w:val="009163C2"/>
    <w:rsid w:val="0091658A"/>
    <w:rsid w:val="00916783"/>
    <w:rsid w:val="00917952"/>
    <w:rsid w:val="00920B63"/>
    <w:rsid w:val="009216B5"/>
    <w:rsid w:val="00921A2F"/>
    <w:rsid w:val="0092220C"/>
    <w:rsid w:val="00922A31"/>
    <w:rsid w:val="00923829"/>
    <w:rsid w:val="0092387B"/>
    <w:rsid w:val="00923AD0"/>
    <w:rsid w:val="00923C00"/>
    <w:rsid w:val="00923D0F"/>
    <w:rsid w:val="00924DB5"/>
    <w:rsid w:val="00925497"/>
    <w:rsid w:val="009254B7"/>
    <w:rsid w:val="0092552A"/>
    <w:rsid w:val="009259AD"/>
    <w:rsid w:val="00926817"/>
    <w:rsid w:val="009279B1"/>
    <w:rsid w:val="00927C5C"/>
    <w:rsid w:val="00927CC0"/>
    <w:rsid w:val="00931664"/>
    <w:rsid w:val="0093187F"/>
    <w:rsid w:val="00931923"/>
    <w:rsid w:val="00931996"/>
    <w:rsid w:val="009327F3"/>
    <w:rsid w:val="00932803"/>
    <w:rsid w:val="0093288F"/>
    <w:rsid w:val="00932E2E"/>
    <w:rsid w:val="0093342D"/>
    <w:rsid w:val="009336BC"/>
    <w:rsid w:val="00933918"/>
    <w:rsid w:val="00933D26"/>
    <w:rsid w:val="00934C95"/>
    <w:rsid w:val="00934F6F"/>
    <w:rsid w:val="00935622"/>
    <w:rsid w:val="0093573F"/>
    <w:rsid w:val="00935909"/>
    <w:rsid w:val="00935AB4"/>
    <w:rsid w:val="00936148"/>
    <w:rsid w:val="009363C1"/>
    <w:rsid w:val="009364B4"/>
    <w:rsid w:val="00936A03"/>
    <w:rsid w:val="00936A55"/>
    <w:rsid w:val="00936DA2"/>
    <w:rsid w:val="00937151"/>
    <w:rsid w:val="0093773C"/>
    <w:rsid w:val="00937BCA"/>
    <w:rsid w:val="00937DA2"/>
    <w:rsid w:val="00940452"/>
    <w:rsid w:val="009408CC"/>
    <w:rsid w:val="00941939"/>
    <w:rsid w:val="00943641"/>
    <w:rsid w:val="00943893"/>
    <w:rsid w:val="009448CD"/>
    <w:rsid w:val="00945120"/>
    <w:rsid w:val="009451EC"/>
    <w:rsid w:val="00945FC3"/>
    <w:rsid w:val="00946CDC"/>
    <w:rsid w:val="00946D12"/>
    <w:rsid w:val="0094715A"/>
    <w:rsid w:val="009502ED"/>
    <w:rsid w:val="00950582"/>
    <w:rsid w:val="00951662"/>
    <w:rsid w:val="00951963"/>
    <w:rsid w:val="00951C49"/>
    <w:rsid w:val="00952A20"/>
    <w:rsid w:val="0095314F"/>
    <w:rsid w:val="009554C4"/>
    <w:rsid w:val="00955805"/>
    <w:rsid w:val="00955806"/>
    <w:rsid w:val="00955C94"/>
    <w:rsid w:val="00956B19"/>
    <w:rsid w:val="0095711C"/>
    <w:rsid w:val="00957EC4"/>
    <w:rsid w:val="00957FC2"/>
    <w:rsid w:val="00960346"/>
    <w:rsid w:val="00960656"/>
    <w:rsid w:val="00961561"/>
    <w:rsid w:val="009615B1"/>
    <w:rsid w:val="00961B50"/>
    <w:rsid w:val="009625EC"/>
    <w:rsid w:val="009627DF"/>
    <w:rsid w:val="00963189"/>
    <w:rsid w:val="009633D2"/>
    <w:rsid w:val="009640B9"/>
    <w:rsid w:val="0096552F"/>
    <w:rsid w:val="00965993"/>
    <w:rsid w:val="00965C4C"/>
    <w:rsid w:val="009666A4"/>
    <w:rsid w:val="009672FC"/>
    <w:rsid w:val="00967A2F"/>
    <w:rsid w:val="00967A3E"/>
    <w:rsid w:val="00967E9C"/>
    <w:rsid w:val="00967F43"/>
    <w:rsid w:val="009708FD"/>
    <w:rsid w:val="009709C6"/>
    <w:rsid w:val="00970BE4"/>
    <w:rsid w:val="00970CE2"/>
    <w:rsid w:val="0097120D"/>
    <w:rsid w:val="00971885"/>
    <w:rsid w:val="00972073"/>
    <w:rsid w:val="00972113"/>
    <w:rsid w:val="009725AF"/>
    <w:rsid w:val="009726AF"/>
    <w:rsid w:val="009726EF"/>
    <w:rsid w:val="0097290A"/>
    <w:rsid w:val="009736F5"/>
    <w:rsid w:val="00974178"/>
    <w:rsid w:val="00974EDB"/>
    <w:rsid w:val="00975183"/>
    <w:rsid w:val="009767D8"/>
    <w:rsid w:val="00976FD4"/>
    <w:rsid w:val="00977292"/>
    <w:rsid w:val="00977985"/>
    <w:rsid w:val="00977C35"/>
    <w:rsid w:val="00977C4A"/>
    <w:rsid w:val="00981AE1"/>
    <w:rsid w:val="00982DB8"/>
    <w:rsid w:val="0098346E"/>
    <w:rsid w:val="009839B3"/>
    <w:rsid w:val="00983CBC"/>
    <w:rsid w:val="00983D32"/>
    <w:rsid w:val="00983F85"/>
    <w:rsid w:val="00984620"/>
    <w:rsid w:val="009857F1"/>
    <w:rsid w:val="00986934"/>
    <w:rsid w:val="00986A55"/>
    <w:rsid w:val="00986CEB"/>
    <w:rsid w:val="00986E92"/>
    <w:rsid w:val="009879B0"/>
    <w:rsid w:val="00987EAE"/>
    <w:rsid w:val="009900A9"/>
    <w:rsid w:val="0099087B"/>
    <w:rsid w:val="00990A00"/>
    <w:rsid w:val="0099175E"/>
    <w:rsid w:val="0099182E"/>
    <w:rsid w:val="009918BE"/>
    <w:rsid w:val="009918EA"/>
    <w:rsid w:val="00992CE2"/>
    <w:rsid w:val="00993172"/>
    <w:rsid w:val="0099348D"/>
    <w:rsid w:val="009939BF"/>
    <w:rsid w:val="0099475B"/>
    <w:rsid w:val="00995CB4"/>
    <w:rsid w:val="009967C6"/>
    <w:rsid w:val="00996C89"/>
    <w:rsid w:val="00996F2A"/>
    <w:rsid w:val="00997C89"/>
    <w:rsid w:val="00997DE9"/>
    <w:rsid w:val="009A014C"/>
    <w:rsid w:val="009A0BDE"/>
    <w:rsid w:val="009A0C41"/>
    <w:rsid w:val="009A1822"/>
    <w:rsid w:val="009A2BDF"/>
    <w:rsid w:val="009A33F9"/>
    <w:rsid w:val="009A3CAE"/>
    <w:rsid w:val="009A3DC0"/>
    <w:rsid w:val="009A4D9F"/>
    <w:rsid w:val="009A56BA"/>
    <w:rsid w:val="009A5861"/>
    <w:rsid w:val="009A5F43"/>
    <w:rsid w:val="009A6199"/>
    <w:rsid w:val="009A6A0F"/>
    <w:rsid w:val="009A7932"/>
    <w:rsid w:val="009B0497"/>
    <w:rsid w:val="009B0F2F"/>
    <w:rsid w:val="009B0FDB"/>
    <w:rsid w:val="009B1650"/>
    <w:rsid w:val="009B1CD4"/>
    <w:rsid w:val="009B2766"/>
    <w:rsid w:val="009B37DE"/>
    <w:rsid w:val="009B427A"/>
    <w:rsid w:val="009B449A"/>
    <w:rsid w:val="009B4A48"/>
    <w:rsid w:val="009B54DB"/>
    <w:rsid w:val="009B57CB"/>
    <w:rsid w:val="009B62CB"/>
    <w:rsid w:val="009B63AC"/>
    <w:rsid w:val="009B695E"/>
    <w:rsid w:val="009B7589"/>
    <w:rsid w:val="009B79FB"/>
    <w:rsid w:val="009B7BF8"/>
    <w:rsid w:val="009B7E81"/>
    <w:rsid w:val="009B7F77"/>
    <w:rsid w:val="009C00B8"/>
    <w:rsid w:val="009C052F"/>
    <w:rsid w:val="009C0551"/>
    <w:rsid w:val="009C0C50"/>
    <w:rsid w:val="009C167A"/>
    <w:rsid w:val="009C24BA"/>
    <w:rsid w:val="009C30C7"/>
    <w:rsid w:val="009C31A3"/>
    <w:rsid w:val="009C4262"/>
    <w:rsid w:val="009C4A0E"/>
    <w:rsid w:val="009C50A6"/>
    <w:rsid w:val="009C535E"/>
    <w:rsid w:val="009C602C"/>
    <w:rsid w:val="009C66F7"/>
    <w:rsid w:val="009C6E1F"/>
    <w:rsid w:val="009C7D34"/>
    <w:rsid w:val="009D00FA"/>
    <w:rsid w:val="009D01A5"/>
    <w:rsid w:val="009D0284"/>
    <w:rsid w:val="009D02CF"/>
    <w:rsid w:val="009D066B"/>
    <w:rsid w:val="009D0819"/>
    <w:rsid w:val="009D08F9"/>
    <w:rsid w:val="009D1BBE"/>
    <w:rsid w:val="009D1C7E"/>
    <w:rsid w:val="009D1FE7"/>
    <w:rsid w:val="009D215B"/>
    <w:rsid w:val="009D244F"/>
    <w:rsid w:val="009D3B4B"/>
    <w:rsid w:val="009D43BA"/>
    <w:rsid w:val="009D52F8"/>
    <w:rsid w:val="009D76AE"/>
    <w:rsid w:val="009D7CFD"/>
    <w:rsid w:val="009D7E06"/>
    <w:rsid w:val="009E008E"/>
    <w:rsid w:val="009E12A4"/>
    <w:rsid w:val="009E1801"/>
    <w:rsid w:val="009E23E1"/>
    <w:rsid w:val="009E297C"/>
    <w:rsid w:val="009E29B1"/>
    <w:rsid w:val="009E3933"/>
    <w:rsid w:val="009E47BD"/>
    <w:rsid w:val="009E48E7"/>
    <w:rsid w:val="009E57E5"/>
    <w:rsid w:val="009E57FC"/>
    <w:rsid w:val="009E5B9C"/>
    <w:rsid w:val="009E7BD1"/>
    <w:rsid w:val="009E7C10"/>
    <w:rsid w:val="009E7E9E"/>
    <w:rsid w:val="009F09E1"/>
    <w:rsid w:val="009F0D21"/>
    <w:rsid w:val="009F15B2"/>
    <w:rsid w:val="009F17AF"/>
    <w:rsid w:val="009F1BB5"/>
    <w:rsid w:val="009F29A6"/>
    <w:rsid w:val="009F2EB1"/>
    <w:rsid w:val="009F2FC8"/>
    <w:rsid w:val="009F3342"/>
    <w:rsid w:val="009F3427"/>
    <w:rsid w:val="009F36CC"/>
    <w:rsid w:val="009F3767"/>
    <w:rsid w:val="009F416B"/>
    <w:rsid w:val="009F4A1E"/>
    <w:rsid w:val="009F5E97"/>
    <w:rsid w:val="009F60DF"/>
    <w:rsid w:val="009F62B9"/>
    <w:rsid w:val="009F64E7"/>
    <w:rsid w:val="009F6917"/>
    <w:rsid w:val="009F711D"/>
    <w:rsid w:val="009F759F"/>
    <w:rsid w:val="009F7AFE"/>
    <w:rsid w:val="009F7EE9"/>
    <w:rsid w:val="00A005C0"/>
    <w:rsid w:val="00A00669"/>
    <w:rsid w:val="00A013B7"/>
    <w:rsid w:val="00A01545"/>
    <w:rsid w:val="00A02242"/>
    <w:rsid w:val="00A0258C"/>
    <w:rsid w:val="00A0285B"/>
    <w:rsid w:val="00A02B20"/>
    <w:rsid w:val="00A02CE2"/>
    <w:rsid w:val="00A02D3E"/>
    <w:rsid w:val="00A03406"/>
    <w:rsid w:val="00A03933"/>
    <w:rsid w:val="00A03E4D"/>
    <w:rsid w:val="00A051BB"/>
    <w:rsid w:val="00A055BC"/>
    <w:rsid w:val="00A058FD"/>
    <w:rsid w:val="00A0596B"/>
    <w:rsid w:val="00A05DC3"/>
    <w:rsid w:val="00A06742"/>
    <w:rsid w:val="00A06DD9"/>
    <w:rsid w:val="00A07781"/>
    <w:rsid w:val="00A077F3"/>
    <w:rsid w:val="00A07E07"/>
    <w:rsid w:val="00A1103F"/>
    <w:rsid w:val="00A114ED"/>
    <w:rsid w:val="00A11716"/>
    <w:rsid w:val="00A11A35"/>
    <w:rsid w:val="00A11C69"/>
    <w:rsid w:val="00A12037"/>
    <w:rsid w:val="00A1213A"/>
    <w:rsid w:val="00A12641"/>
    <w:rsid w:val="00A138C8"/>
    <w:rsid w:val="00A13955"/>
    <w:rsid w:val="00A13A4E"/>
    <w:rsid w:val="00A144C2"/>
    <w:rsid w:val="00A1503F"/>
    <w:rsid w:val="00A15456"/>
    <w:rsid w:val="00A15FC1"/>
    <w:rsid w:val="00A16577"/>
    <w:rsid w:val="00A169A2"/>
    <w:rsid w:val="00A16F7B"/>
    <w:rsid w:val="00A17017"/>
    <w:rsid w:val="00A17B12"/>
    <w:rsid w:val="00A17BFB"/>
    <w:rsid w:val="00A20561"/>
    <w:rsid w:val="00A2154A"/>
    <w:rsid w:val="00A21EC1"/>
    <w:rsid w:val="00A22ADC"/>
    <w:rsid w:val="00A23A11"/>
    <w:rsid w:val="00A246CC"/>
    <w:rsid w:val="00A24BDA"/>
    <w:rsid w:val="00A24C57"/>
    <w:rsid w:val="00A2508F"/>
    <w:rsid w:val="00A250A0"/>
    <w:rsid w:val="00A26BD2"/>
    <w:rsid w:val="00A277EE"/>
    <w:rsid w:val="00A3060E"/>
    <w:rsid w:val="00A320CA"/>
    <w:rsid w:val="00A3231D"/>
    <w:rsid w:val="00A33411"/>
    <w:rsid w:val="00A33D50"/>
    <w:rsid w:val="00A346ED"/>
    <w:rsid w:val="00A34763"/>
    <w:rsid w:val="00A349AB"/>
    <w:rsid w:val="00A34B50"/>
    <w:rsid w:val="00A34DE0"/>
    <w:rsid w:val="00A35329"/>
    <w:rsid w:val="00A354AC"/>
    <w:rsid w:val="00A358AC"/>
    <w:rsid w:val="00A373CC"/>
    <w:rsid w:val="00A37DA0"/>
    <w:rsid w:val="00A4014E"/>
    <w:rsid w:val="00A4033D"/>
    <w:rsid w:val="00A405E5"/>
    <w:rsid w:val="00A4141C"/>
    <w:rsid w:val="00A4208B"/>
    <w:rsid w:val="00A426D9"/>
    <w:rsid w:val="00A429F4"/>
    <w:rsid w:val="00A42A8D"/>
    <w:rsid w:val="00A43278"/>
    <w:rsid w:val="00A435B3"/>
    <w:rsid w:val="00A43F13"/>
    <w:rsid w:val="00A44DE7"/>
    <w:rsid w:val="00A45155"/>
    <w:rsid w:val="00A4539F"/>
    <w:rsid w:val="00A45885"/>
    <w:rsid w:val="00A45950"/>
    <w:rsid w:val="00A45981"/>
    <w:rsid w:val="00A45E4F"/>
    <w:rsid w:val="00A4633B"/>
    <w:rsid w:val="00A467EE"/>
    <w:rsid w:val="00A470B2"/>
    <w:rsid w:val="00A47511"/>
    <w:rsid w:val="00A47747"/>
    <w:rsid w:val="00A50666"/>
    <w:rsid w:val="00A50E50"/>
    <w:rsid w:val="00A5145D"/>
    <w:rsid w:val="00A51663"/>
    <w:rsid w:val="00A51826"/>
    <w:rsid w:val="00A5359F"/>
    <w:rsid w:val="00A535E1"/>
    <w:rsid w:val="00A537EE"/>
    <w:rsid w:val="00A53B97"/>
    <w:rsid w:val="00A54421"/>
    <w:rsid w:val="00A5451C"/>
    <w:rsid w:val="00A55546"/>
    <w:rsid w:val="00A561FB"/>
    <w:rsid w:val="00A563DC"/>
    <w:rsid w:val="00A56A20"/>
    <w:rsid w:val="00A56C37"/>
    <w:rsid w:val="00A57B91"/>
    <w:rsid w:val="00A57C32"/>
    <w:rsid w:val="00A6036A"/>
    <w:rsid w:val="00A60470"/>
    <w:rsid w:val="00A608CC"/>
    <w:rsid w:val="00A621CF"/>
    <w:rsid w:val="00A625F1"/>
    <w:rsid w:val="00A630AD"/>
    <w:rsid w:val="00A63394"/>
    <w:rsid w:val="00A648A3"/>
    <w:rsid w:val="00A64D06"/>
    <w:rsid w:val="00A6520B"/>
    <w:rsid w:val="00A653D4"/>
    <w:rsid w:val="00A65AEA"/>
    <w:rsid w:val="00A65F26"/>
    <w:rsid w:val="00A66EB6"/>
    <w:rsid w:val="00A67F6A"/>
    <w:rsid w:val="00A7022E"/>
    <w:rsid w:val="00A70502"/>
    <w:rsid w:val="00A70BA7"/>
    <w:rsid w:val="00A70BCD"/>
    <w:rsid w:val="00A71212"/>
    <w:rsid w:val="00A716AE"/>
    <w:rsid w:val="00A71C5D"/>
    <w:rsid w:val="00A724B3"/>
    <w:rsid w:val="00A7257B"/>
    <w:rsid w:val="00A72BA9"/>
    <w:rsid w:val="00A72CAD"/>
    <w:rsid w:val="00A72D81"/>
    <w:rsid w:val="00A72EE0"/>
    <w:rsid w:val="00A73127"/>
    <w:rsid w:val="00A73D6C"/>
    <w:rsid w:val="00A744D3"/>
    <w:rsid w:val="00A74E1B"/>
    <w:rsid w:val="00A75401"/>
    <w:rsid w:val="00A755AF"/>
    <w:rsid w:val="00A75BB2"/>
    <w:rsid w:val="00A75EC8"/>
    <w:rsid w:val="00A76107"/>
    <w:rsid w:val="00A7635D"/>
    <w:rsid w:val="00A77F5F"/>
    <w:rsid w:val="00A80505"/>
    <w:rsid w:val="00A80AF4"/>
    <w:rsid w:val="00A8391F"/>
    <w:rsid w:val="00A83F2F"/>
    <w:rsid w:val="00A847C4"/>
    <w:rsid w:val="00A85145"/>
    <w:rsid w:val="00A85187"/>
    <w:rsid w:val="00A85C7A"/>
    <w:rsid w:val="00A85E1C"/>
    <w:rsid w:val="00A867D0"/>
    <w:rsid w:val="00A86B73"/>
    <w:rsid w:val="00A870F1"/>
    <w:rsid w:val="00A871A3"/>
    <w:rsid w:val="00A874FA"/>
    <w:rsid w:val="00A876A7"/>
    <w:rsid w:val="00A87A3D"/>
    <w:rsid w:val="00A90773"/>
    <w:rsid w:val="00A9125C"/>
    <w:rsid w:val="00A913EB"/>
    <w:rsid w:val="00A916EA"/>
    <w:rsid w:val="00A91E00"/>
    <w:rsid w:val="00A9214C"/>
    <w:rsid w:val="00A92586"/>
    <w:rsid w:val="00A92FB5"/>
    <w:rsid w:val="00A9318B"/>
    <w:rsid w:val="00A93215"/>
    <w:rsid w:val="00A9327A"/>
    <w:rsid w:val="00A93551"/>
    <w:rsid w:val="00A93C97"/>
    <w:rsid w:val="00A94570"/>
    <w:rsid w:val="00A9468B"/>
    <w:rsid w:val="00A94D21"/>
    <w:rsid w:val="00A950D2"/>
    <w:rsid w:val="00A95298"/>
    <w:rsid w:val="00A96430"/>
    <w:rsid w:val="00A96572"/>
    <w:rsid w:val="00A9705E"/>
    <w:rsid w:val="00A973F0"/>
    <w:rsid w:val="00AA0D23"/>
    <w:rsid w:val="00AA0F21"/>
    <w:rsid w:val="00AA1350"/>
    <w:rsid w:val="00AA13CF"/>
    <w:rsid w:val="00AA13E3"/>
    <w:rsid w:val="00AA1A39"/>
    <w:rsid w:val="00AA2AF9"/>
    <w:rsid w:val="00AA3FC5"/>
    <w:rsid w:val="00AA4138"/>
    <w:rsid w:val="00AA4150"/>
    <w:rsid w:val="00AA43AD"/>
    <w:rsid w:val="00AA4BEA"/>
    <w:rsid w:val="00AA4DAA"/>
    <w:rsid w:val="00AA6BEE"/>
    <w:rsid w:val="00AA7500"/>
    <w:rsid w:val="00AB00A0"/>
    <w:rsid w:val="00AB01CE"/>
    <w:rsid w:val="00AB0D37"/>
    <w:rsid w:val="00AB15D5"/>
    <w:rsid w:val="00AB1CE7"/>
    <w:rsid w:val="00AB2C8D"/>
    <w:rsid w:val="00AB3196"/>
    <w:rsid w:val="00AB43DB"/>
    <w:rsid w:val="00AB585C"/>
    <w:rsid w:val="00AB5865"/>
    <w:rsid w:val="00AB5B5C"/>
    <w:rsid w:val="00AB5D79"/>
    <w:rsid w:val="00AB62E9"/>
    <w:rsid w:val="00AB6307"/>
    <w:rsid w:val="00AB6EA2"/>
    <w:rsid w:val="00AB76EC"/>
    <w:rsid w:val="00AC09C9"/>
    <w:rsid w:val="00AC09F5"/>
    <w:rsid w:val="00AC0B80"/>
    <w:rsid w:val="00AC0DF0"/>
    <w:rsid w:val="00AC1033"/>
    <w:rsid w:val="00AC1853"/>
    <w:rsid w:val="00AC332C"/>
    <w:rsid w:val="00AC3F3E"/>
    <w:rsid w:val="00AC4E4A"/>
    <w:rsid w:val="00AC5D6C"/>
    <w:rsid w:val="00AC6691"/>
    <w:rsid w:val="00AC686D"/>
    <w:rsid w:val="00AC77A7"/>
    <w:rsid w:val="00AC7AD2"/>
    <w:rsid w:val="00AC7F42"/>
    <w:rsid w:val="00AC7FED"/>
    <w:rsid w:val="00AD1127"/>
    <w:rsid w:val="00AD1632"/>
    <w:rsid w:val="00AD183F"/>
    <w:rsid w:val="00AD257A"/>
    <w:rsid w:val="00AD3035"/>
    <w:rsid w:val="00AD382A"/>
    <w:rsid w:val="00AD40CE"/>
    <w:rsid w:val="00AD457F"/>
    <w:rsid w:val="00AD4947"/>
    <w:rsid w:val="00AD4C75"/>
    <w:rsid w:val="00AD5BB5"/>
    <w:rsid w:val="00AD5BEF"/>
    <w:rsid w:val="00AD5DAD"/>
    <w:rsid w:val="00AD62A9"/>
    <w:rsid w:val="00AD6474"/>
    <w:rsid w:val="00AD652E"/>
    <w:rsid w:val="00AD6698"/>
    <w:rsid w:val="00AD6F43"/>
    <w:rsid w:val="00AD703F"/>
    <w:rsid w:val="00AD7922"/>
    <w:rsid w:val="00AE0BB0"/>
    <w:rsid w:val="00AE0C09"/>
    <w:rsid w:val="00AE0EDC"/>
    <w:rsid w:val="00AE139F"/>
    <w:rsid w:val="00AE1F22"/>
    <w:rsid w:val="00AE248B"/>
    <w:rsid w:val="00AE2BCB"/>
    <w:rsid w:val="00AE384C"/>
    <w:rsid w:val="00AE3A5A"/>
    <w:rsid w:val="00AE4C01"/>
    <w:rsid w:val="00AE50CB"/>
    <w:rsid w:val="00AE54D8"/>
    <w:rsid w:val="00AE6837"/>
    <w:rsid w:val="00AE6BDB"/>
    <w:rsid w:val="00AF06C1"/>
    <w:rsid w:val="00AF1167"/>
    <w:rsid w:val="00AF15EA"/>
    <w:rsid w:val="00AF1A27"/>
    <w:rsid w:val="00AF2793"/>
    <w:rsid w:val="00AF281A"/>
    <w:rsid w:val="00AF2DAA"/>
    <w:rsid w:val="00AF2EB2"/>
    <w:rsid w:val="00AF381E"/>
    <w:rsid w:val="00AF3CE1"/>
    <w:rsid w:val="00AF3DFD"/>
    <w:rsid w:val="00AF438F"/>
    <w:rsid w:val="00AF4C6E"/>
    <w:rsid w:val="00AF4EFD"/>
    <w:rsid w:val="00AF4F1E"/>
    <w:rsid w:val="00AF4FB5"/>
    <w:rsid w:val="00AF55F5"/>
    <w:rsid w:val="00AF5D96"/>
    <w:rsid w:val="00AF7367"/>
    <w:rsid w:val="00AF73C9"/>
    <w:rsid w:val="00AF764C"/>
    <w:rsid w:val="00AF7ACC"/>
    <w:rsid w:val="00AF7C21"/>
    <w:rsid w:val="00AF7CDF"/>
    <w:rsid w:val="00B00578"/>
    <w:rsid w:val="00B00C57"/>
    <w:rsid w:val="00B01091"/>
    <w:rsid w:val="00B0284A"/>
    <w:rsid w:val="00B02D6F"/>
    <w:rsid w:val="00B045A4"/>
    <w:rsid w:val="00B04CEA"/>
    <w:rsid w:val="00B0563E"/>
    <w:rsid w:val="00B0580F"/>
    <w:rsid w:val="00B05D62"/>
    <w:rsid w:val="00B060A2"/>
    <w:rsid w:val="00B06818"/>
    <w:rsid w:val="00B07694"/>
    <w:rsid w:val="00B11D8D"/>
    <w:rsid w:val="00B11FD2"/>
    <w:rsid w:val="00B12C99"/>
    <w:rsid w:val="00B13593"/>
    <w:rsid w:val="00B14DEF"/>
    <w:rsid w:val="00B14F57"/>
    <w:rsid w:val="00B14F6A"/>
    <w:rsid w:val="00B15298"/>
    <w:rsid w:val="00B1600B"/>
    <w:rsid w:val="00B16177"/>
    <w:rsid w:val="00B161F1"/>
    <w:rsid w:val="00B1634B"/>
    <w:rsid w:val="00B16E3C"/>
    <w:rsid w:val="00B175F9"/>
    <w:rsid w:val="00B179C1"/>
    <w:rsid w:val="00B17AB1"/>
    <w:rsid w:val="00B205A4"/>
    <w:rsid w:val="00B21E96"/>
    <w:rsid w:val="00B22108"/>
    <w:rsid w:val="00B227A7"/>
    <w:rsid w:val="00B22AAF"/>
    <w:rsid w:val="00B22E83"/>
    <w:rsid w:val="00B23538"/>
    <w:rsid w:val="00B24D64"/>
    <w:rsid w:val="00B24FE4"/>
    <w:rsid w:val="00B251AD"/>
    <w:rsid w:val="00B25722"/>
    <w:rsid w:val="00B264D4"/>
    <w:rsid w:val="00B26707"/>
    <w:rsid w:val="00B26CD8"/>
    <w:rsid w:val="00B26EB5"/>
    <w:rsid w:val="00B273E9"/>
    <w:rsid w:val="00B27D0A"/>
    <w:rsid w:val="00B315B0"/>
    <w:rsid w:val="00B320EC"/>
    <w:rsid w:val="00B329FD"/>
    <w:rsid w:val="00B3315D"/>
    <w:rsid w:val="00B335C8"/>
    <w:rsid w:val="00B34657"/>
    <w:rsid w:val="00B34834"/>
    <w:rsid w:val="00B34B34"/>
    <w:rsid w:val="00B34C41"/>
    <w:rsid w:val="00B34C6E"/>
    <w:rsid w:val="00B34DB4"/>
    <w:rsid w:val="00B35185"/>
    <w:rsid w:val="00B35691"/>
    <w:rsid w:val="00B36100"/>
    <w:rsid w:val="00B362D6"/>
    <w:rsid w:val="00B36CF3"/>
    <w:rsid w:val="00B36FCB"/>
    <w:rsid w:val="00B370F2"/>
    <w:rsid w:val="00B3728A"/>
    <w:rsid w:val="00B37D73"/>
    <w:rsid w:val="00B40295"/>
    <w:rsid w:val="00B40587"/>
    <w:rsid w:val="00B40B4D"/>
    <w:rsid w:val="00B416AF"/>
    <w:rsid w:val="00B41B41"/>
    <w:rsid w:val="00B42065"/>
    <w:rsid w:val="00B42E9D"/>
    <w:rsid w:val="00B4314F"/>
    <w:rsid w:val="00B43718"/>
    <w:rsid w:val="00B4602B"/>
    <w:rsid w:val="00B4639C"/>
    <w:rsid w:val="00B4677C"/>
    <w:rsid w:val="00B478F4"/>
    <w:rsid w:val="00B47FE2"/>
    <w:rsid w:val="00B510E7"/>
    <w:rsid w:val="00B513A8"/>
    <w:rsid w:val="00B51748"/>
    <w:rsid w:val="00B5218F"/>
    <w:rsid w:val="00B529F6"/>
    <w:rsid w:val="00B52E27"/>
    <w:rsid w:val="00B53574"/>
    <w:rsid w:val="00B53D28"/>
    <w:rsid w:val="00B54793"/>
    <w:rsid w:val="00B547BB"/>
    <w:rsid w:val="00B55DA7"/>
    <w:rsid w:val="00B55FD9"/>
    <w:rsid w:val="00B560A9"/>
    <w:rsid w:val="00B56C6B"/>
    <w:rsid w:val="00B56E1A"/>
    <w:rsid w:val="00B573CE"/>
    <w:rsid w:val="00B57CA9"/>
    <w:rsid w:val="00B57FB8"/>
    <w:rsid w:val="00B6023E"/>
    <w:rsid w:val="00B608DA"/>
    <w:rsid w:val="00B61F4E"/>
    <w:rsid w:val="00B628CF"/>
    <w:rsid w:val="00B6352C"/>
    <w:rsid w:val="00B6365E"/>
    <w:rsid w:val="00B63B23"/>
    <w:rsid w:val="00B63D2E"/>
    <w:rsid w:val="00B63EF0"/>
    <w:rsid w:val="00B63F69"/>
    <w:rsid w:val="00B64FF7"/>
    <w:rsid w:val="00B6557B"/>
    <w:rsid w:val="00B656C0"/>
    <w:rsid w:val="00B65CA5"/>
    <w:rsid w:val="00B65F88"/>
    <w:rsid w:val="00B66175"/>
    <w:rsid w:val="00B661FC"/>
    <w:rsid w:val="00B66364"/>
    <w:rsid w:val="00B66D1C"/>
    <w:rsid w:val="00B66F2B"/>
    <w:rsid w:val="00B671E0"/>
    <w:rsid w:val="00B67C84"/>
    <w:rsid w:val="00B7098D"/>
    <w:rsid w:val="00B7103B"/>
    <w:rsid w:val="00B7221A"/>
    <w:rsid w:val="00B72248"/>
    <w:rsid w:val="00B73990"/>
    <w:rsid w:val="00B7490F"/>
    <w:rsid w:val="00B75CEB"/>
    <w:rsid w:val="00B765A6"/>
    <w:rsid w:val="00B76927"/>
    <w:rsid w:val="00B76EB3"/>
    <w:rsid w:val="00B771B3"/>
    <w:rsid w:val="00B77427"/>
    <w:rsid w:val="00B7749D"/>
    <w:rsid w:val="00B775C7"/>
    <w:rsid w:val="00B805F3"/>
    <w:rsid w:val="00B808CB"/>
    <w:rsid w:val="00B8156C"/>
    <w:rsid w:val="00B81816"/>
    <w:rsid w:val="00B81D17"/>
    <w:rsid w:val="00B828F0"/>
    <w:rsid w:val="00B82EB5"/>
    <w:rsid w:val="00B83377"/>
    <w:rsid w:val="00B83D7E"/>
    <w:rsid w:val="00B8434D"/>
    <w:rsid w:val="00B86085"/>
    <w:rsid w:val="00B862C2"/>
    <w:rsid w:val="00B86373"/>
    <w:rsid w:val="00B864C0"/>
    <w:rsid w:val="00B864D3"/>
    <w:rsid w:val="00B867A6"/>
    <w:rsid w:val="00B873EC"/>
    <w:rsid w:val="00B879FF"/>
    <w:rsid w:val="00B87A40"/>
    <w:rsid w:val="00B87B59"/>
    <w:rsid w:val="00B902C9"/>
    <w:rsid w:val="00B9128B"/>
    <w:rsid w:val="00B9257D"/>
    <w:rsid w:val="00B9361A"/>
    <w:rsid w:val="00B9392A"/>
    <w:rsid w:val="00B941F8"/>
    <w:rsid w:val="00B95170"/>
    <w:rsid w:val="00B95D7C"/>
    <w:rsid w:val="00B96F40"/>
    <w:rsid w:val="00BA0533"/>
    <w:rsid w:val="00BA078A"/>
    <w:rsid w:val="00BA0996"/>
    <w:rsid w:val="00BA1311"/>
    <w:rsid w:val="00BA1684"/>
    <w:rsid w:val="00BA19CD"/>
    <w:rsid w:val="00BA1C66"/>
    <w:rsid w:val="00BA2BA3"/>
    <w:rsid w:val="00BA2C59"/>
    <w:rsid w:val="00BA3702"/>
    <w:rsid w:val="00BA3846"/>
    <w:rsid w:val="00BA3D7F"/>
    <w:rsid w:val="00BA4590"/>
    <w:rsid w:val="00BA549D"/>
    <w:rsid w:val="00BA592E"/>
    <w:rsid w:val="00BA5D64"/>
    <w:rsid w:val="00BA68C4"/>
    <w:rsid w:val="00BA77CE"/>
    <w:rsid w:val="00BB003A"/>
    <w:rsid w:val="00BB11FE"/>
    <w:rsid w:val="00BB1272"/>
    <w:rsid w:val="00BB20B6"/>
    <w:rsid w:val="00BB2439"/>
    <w:rsid w:val="00BB5355"/>
    <w:rsid w:val="00BB598A"/>
    <w:rsid w:val="00BB644C"/>
    <w:rsid w:val="00BB6738"/>
    <w:rsid w:val="00BB759A"/>
    <w:rsid w:val="00BB7EC2"/>
    <w:rsid w:val="00BC1C52"/>
    <w:rsid w:val="00BC2E9C"/>
    <w:rsid w:val="00BC3857"/>
    <w:rsid w:val="00BC3B86"/>
    <w:rsid w:val="00BC3C25"/>
    <w:rsid w:val="00BC42D9"/>
    <w:rsid w:val="00BC431B"/>
    <w:rsid w:val="00BC5829"/>
    <w:rsid w:val="00BC597D"/>
    <w:rsid w:val="00BC5B93"/>
    <w:rsid w:val="00BC5E4F"/>
    <w:rsid w:val="00BC67EC"/>
    <w:rsid w:val="00BC6A57"/>
    <w:rsid w:val="00BC7777"/>
    <w:rsid w:val="00BD0055"/>
    <w:rsid w:val="00BD0AFB"/>
    <w:rsid w:val="00BD0B50"/>
    <w:rsid w:val="00BD284F"/>
    <w:rsid w:val="00BD3043"/>
    <w:rsid w:val="00BD37F7"/>
    <w:rsid w:val="00BD3917"/>
    <w:rsid w:val="00BD3CD6"/>
    <w:rsid w:val="00BD517D"/>
    <w:rsid w:val="00BD5B53"/>
    <w:rsid w:val="00BD649E"/>
    <w:rsid w:val="00BD6825"/>
    <w:rsid w:val="00BD6B5C"/>
    <w:rsid w:val="00BD7644"/>
    <w:rsid w:val="00BD792D"/>
    <w:rsid w:val="00BD7DC9"/>
    <w:rsid w:val="00BE05EF"/>
    <w:rsid w:val="00BE0793"/>
    <w:rsid w:val="00BE167B"/>
    <w:rsid w:val="00BE1735"/>
    <w:rsid w:val="00BE1B8D"/>
    <w:rsid w:val="00BE230B"/>
    <w:rsid w:val="00BE2BF7"/>
    <w:rsid w:val="00BE33E1"/>
    <w:rsid w:val="00BE34DA"/>
    <w:rsid w:val="00BE3E3E"/>
    <w:rsid w:val="00BE4A84"/>
    <w:rsid w:val="00BE5A10"/>
    <w:rsid w:val="00BE5E69"/>
    <w:rsid w:val="00BE5F16"/>
    <w:rsid w:val="00BE6056"/>
    <w:rsid w:val="00BE6351"/>
    <w:rsid w:val="00BE6D83"/>
    <w:rsid w:val="00BE6E2D"/>
    <w:rsid w:val="00BE6E2F"/>
    <w:rsid w:val="00BE74E6"/>
    <w:rsid w:val="00BE7F28"/>
    <w:rsid w:val="00BE7F92"/>
    <w:rsid w:val="00BF0208"/>
    <w:rsid w:val="00BF03DB"/>
    <w:rsid w:val="00BF0891"/>
    <w:rsid w:val="00BF0B79"/>
    <w:rsid w:val="00BF0C1B"/>
    <w:rsid w:val="00BF13AA"/>
    <w:rsid w:val="00BF2220"/>
    <w:rsid w:val="00BF22B6"/>
    <w:rsid w:val="00BF31F8"/>
    <w:rsid w:val="00BF32C1"/>
    <w:rsid w:val="00BF36AC"/>
    <w:rsid w:val="00BF4059"/>
    <w:rsid w:val="00BF43C7"/>
    <w:rsid w:val="00BF45BE"/>
    <w:rsid w:val="00BF4E9D"/>
    <w:rsid w:val="00BF52B4"/>
    <w:rsid w:val="00BF59AA"/>
    <w:rsid w:val="00BF5E45"/>
    <w:rsid w:val="00BF5F64"/>
    <w:rsid w:val="00BF6652"/>
    <w:rsid w:val="00BF66E2"/>
    <w:rsid w:val="00BF6832"/>
    <w:rsid w:val="00BF68FB"/>
    <w:rsid w:val="00BF6B47"/>
    <w:rsid w:val="00BF7340"/>
    <w:rsid w:val="00BF73A5"/>
    <w:rsid w:val="00BF7754"/>
    <w:rsid w:val="00BF7AA4"/>
    <w:rsid w:val="00BF7BAE"/>
    <w:rsid w:val="00BF7D95"/>
    <w:rsid w:val="00BF7F90"/>
    <w:rsid w:val="00C00391"/>
    <w:rsid w:val="00C00456"/>
    <w:rsid w:val="00C0096C"/>
    <w:rsid w:val="00C017BD"/>
    <w:rsid w:val="00C01AC8"/>
    <w:rsid w:val="00C01B34"/>
    <w:rsid w:val="00C01F64"/>
    <w:rsid w:val="00C02290"/>
    <w:rsid w:val="00C02457"/>
    <w:rsid w:val="00C02590"/>
    <w:rsid w:val="00C02693"/>
    <w:rsid w:val="00C02E0A"/>
    <w:rsid w:val="00C0488D"/>
    <w:rsid w:val="00C04FAE"/>
    <w:rsid w:val="00C06827"/>
    <w:rsid w:val="00C0719D"/>
    <w:rsid w:val="00C074B1"/>
    <w:rsid w:val="00C10681"/>
    <w:rsid w:val="00C10C27"/>
    <w:rsid w:val="00C11815"/>
    <w:rsid w:val="00C11AE5"/>
    <w:rsid w:val="00C11C2D"/>
    <w:rsid w:val="00C11C9D"/>
    <w:rsid w:val="00C11E46"/>
    <w:rsid w:val="00C11E4C"/>
    <w:rsid w:val="00C12459"/>
    <w:rsid w:val="00C1273F"/>
    <w:rsid w:val="00C149EC"/>
    <w:rsid w:val="00C14DD8"/>
    <w:rsid w:val="00C15743"/>
    <w:rsid w:val="00C1580B"/>
    <w:rsid w:val="00C15FD7"/>
    <w:rsid w:val="00C1616D"/>
    <w:rsid w:val="00C1754C"/>
    <w:rsid w:val="00C2040C"/>
    <w:rsid w:val="00C20580"/>
    <w:rsid w:val="00C215B2"/>
    <w:rsid w:val="00C21B99"/>
    <w:rsid w:val="00C22B0B"/>
    <w:rsid w:val="00C22C7F"/>
    <w:rsid w:val="00C22D45"/>
    <w:rsid w:val="00C233BB"/>
    <w:rsid w:val="00C23FBF"/>
    <w:rsid w:val="00C240EE"/>
    <w:rsid w:val="00C24475"/>
    <w:rsid w:val="00C244B4"/>
    <w:rsid w:val="00C250F8"/>
    <w:rsid w:val="00C25A0C"/>
    <w:rsid w:val="00C25DB4"/>
    <w:rsid w:val="00C26026"/>
    <w:rsid w:val="00C261A2"/>
    <w:rsid w:val="00C2691D"/>
    <w:rsid w:val="00C2777E"/>
    <w:rsid w:val="00C27DA9"/>
    <w:rsid w:val="00C3034C"/>
    <w:rsid w:val="00C309F8"/>
    <w:rsid w:val="00C30AAA"/>
    <w:rsid w:val="00C3234B"/>
    <w:rsid w:val="00C32D5E"/>
    <w:rsid w:val="00C334C6"/>
    <w:rsid w:val="00C3466E"/>
    <w:rsid w:val="00C35B91"/>
    <w:rsid w:val="00C361E6"/>
    <w:rsid w:val="00C36376"/>
    <w:rsid w:val="00C3666F"/>
    <w:rsid w:val="00C36DCB"/>
    <w:rsid w:val="00C370A0"/>
    <w:rsid w:val="00C401BF"/>
    <w:rsid w:val="00C41895"/>
    <w:rsid w:val="00C41914"/>
    <w:rsid w:val="00C42843"/>
    <w:rsid w:val="00C43334"/>
    <w:rsid w:val="00C446D8"/>
    <w:rsid w:val="00C4472C"/>
    <w:rsid w:val="00C44B51"/>
    <w:rsid w:val="00C44C62"/>
    <w:rsid w:val="00C44D25"/>
    <w:rsid w:val="00C44E67"/>
    <w:rsid w:val="00C45806"/>
    <w:rsid w:val="00C45B07"/>
    <w:rsid w:val="00C45D90"/>
    <w:rsid w:val="00C45DBB"/>
    <w:rsid w:val="00C45DED"/>
    <w:rsid w:val="00C460DB"/>
    <w:rsid w:val="00C47638"/>
    <w:rsid w:val="00C504CF"/>
    <w:rsid w:val="00C50E06"/>
    <w:rsid w:val="00C50FD1"/>
    <w:rsid w:val="00C513FE"/>
    <w:rsid w:val="00C5259D"/>
    <w:rsid w:val="00C53386"/>
    <w:rsid w:val="00C5344E"/>
    <w:rsid w:val="00C5511E"/>
    <w:rsid w:val="00C5536D"/>
    <w:rsid w:val="00C55706"/>
    <w:rsid w:val="00C55A13"/>
    <w:rsid w:val="00C55AFD"/>
    <w:rsid w:val="00C55C2B"/>
    <w:rsid w:val="00C55F18"/>
    <w:rsid w:val="00C5671A"/>
    <w:rsid w:val="00C57198"/>
    <w:rsid w:val="00C605A6"/>
    <w:rsid w:val="00C606D8"/>
    <w:rsid w:val="00C6077E"/>
    <w:rsid w:val="00C61967"/>
    <w:rsid w:val="00C62686"/>
    <w:rsid w:val="00C63CAE"/>
    <w:rsid w:val="00C65196"/>
    <w:rsid w:val="00C657CB"/>
    <w:rsid w:val="00C67471"/>
    <w:rsid w:val="00C67540"/>
    <w:rsid w:val="00C679ED"/>
    <w:rsid w:val="00C71DCB"/>
    <w:rsid w:val="00C72172"/>
    <w:rsid w:val="00C73697"/>
    <w:rsid w:val="00C7376B"/>
    <w:rsid w:val="00C73834"/>
    <w:rsid w:val="00C739A3"/>
    <w:rsid w:val="00C7400A"/>
    <w:rsid w:val="00C747D1"/>
    <w:rsid w:val="00C7499D"/>
    <w:rsid w:val="00C74BB7"/>
    <w:rsid w:val="00C75529"/>
    <w:rsid w:val="00C75B11"/>
    <w:rsid w:val="00C76279"/>
    <w:rsid w:val="00C76974"/>
    <w:rsid w:val="00C769FC"/>
    <w:rsid w:val="00C76B43"/>
    <w:rsid w:val="00C76E6A"/>
    <w:rsid w:val="00C77009"/>
    <w:rsid w:val="00C77A44"/>
    <w:rsid w:val="00C77B89"/>
    <w:rsid w:val="00C80E19"/>
    <w:rsid w:val="00C8176B"/>
    <w:rsid w:val="00C818A2"/>
    <w:rsid w:val="00C81FAE"/>
    <w:rsid w:val="00C82479"/>
    <w:rsid w:val="00C839FA"/>
    <w:rsid w:val="00C847D6"/>
    <w:rsid w:val="00C84B4A"/>
    <w:rsid w:val="00C8589E"/>
    <w:rsid w:val="00C85DFD"/>
    <w:rsid w:val="00C860D5"/>
    <w:rsid w:val="00C86441"/>
    <w:rsid w:val="00C86FBA"/>
    <w:rsid w:val="00C90AEF"/>
    <w:rsid w:val="00C90B4B"/>
    <w:rsid w:val="00C91E90"/>
    <w:rsid w:val="00C9216F"/>
    <w:rsid w:val="00C9249C"/>
    <w:rsid w:val="00C9253C"/>
    <w:rsid w:val="00C92A96"/>
    <w:rsid w:val="00C92BCE"/>
    <w:rsid w:val="00C94077"/>
    <w:rsid w:val="00C94DB7"/>
    <w:rsid w:val="00C9503B"/>
    <w:rsid w:val="00C9512B"/>
    <w:rsid w:val="00C9544A"/>
    <w:rsid w:val="00C95B4B"/>
    <w:rsid w:val="00C95FBE"/>
    <w:rsid w:val="00C96E0B"/>
    <w:rsid w:val="00C97B05"/>
    <w:rsid w:val="00CA0166"/>
    <w:rsid w:val="00CA0DD2"/>
    <w:rsid w:val="00CA0FD3"/>
    <w:rsid w:val="00CA1B83"/>
    <w:rsid w:val="00CA1E1E"/>
    <w:rsid w:val="00CA1EAF"/>
    <w:rsid w:val="00CA26FC"/>
    <w:rsid w:val="00CA270C"/>
    <w:rsid w:val="00CA35B0"/>
    <w:rsid w:val="00CA3A03"/>
    <w:rsid w:val="00CA446D"/>
    <w:rsid w:val="00CA45B7"/>
    <w:rsid w:val="00CA4E73"/>
    <w:rsid w:val="00CA564D"/>
    <w:rsid w:val="00CA5BCE"/>
    <w:rsid w:val="00CA5C1F"/>
    <w:rsid w:val="00CA5CFA"/>
    <w:rsid w:val="00CA62CD"/>
    <w:rsid w:val="00CA62EA"/>
    <w:rsid w:val="00CA68D0"/>
    <w:rsid w:val="00CA7116"/>
    <w:rsid w:val="00CA75BC"/>
    <w:rsid w:val="00CA77E7"/>
    <w:rsid w:val="00CB01D3"/>
    <w:rsid w:val="00CB03EC"/>
    <w:rsid w:val="00CB0947"/>
    <w:rsid w:val="00CB0F58"/>
    <w:rsid w:val="00CB1231"/>
    <w:rsid w:val="00CB14CC"/>
    <w:rsid w:val="00CB158F"/>
    <w:rsid w:val="00CB2238"/>
    <w:rsid w:val="00CB24B6"/>
    <w:rsid w:val="00CB3334"/>
    <w:rsid w:val="00CB3F4F"/>
    <w:rsid w:val="00CB41FE"/>
    <w:rsid w:val="00CB4522"/>
    <w:rsid w:val="00CB49F9"/>
    <w:rsid w:val="00CB4AFE"/>
    <w:rsid w:val="00CB4D3A"/>
    <w:rsid w:val="00CB4D41"/>
    <w:rsid w:val="00CB510C"/>
    <w:rsid w:val="00CB58D5"/>
    <w:rsid w:val="00CB6B68"/>
    <w:rsid w:val="00CB6EB0"/>
    <w:rsid w:val="00CC14FD"/>
    <w:rsid w:val="00CC155C"/>
    <w:rsid w:val="00CC1765"/>
    <w:rsid w:val="00CC1EDB"/>
    <w:rsid w:val="00CC331B"/>
    <w:rsid w:val="00CC4619"/>
    <w:rsid w:val="00CC475E"/>
    <w:rsid w:val="00CC5B26"/>
    <w:rsid w:val="00CC63FA"/>
    <w:rsid w:val="00CC66BE"/>
    <w:rsid w:val="00CC6CEC"/>
    <w:rsid w:val="00CC71E0"/>
    <w:rsid w:val="00CC73C7"/>
    <w:rsid w:val="00CC79F8"/>
    <w:rsid w:val="00CC7C67"/>
    <w:rsid w:val="00CD12A0"/>
    <w:rsid w:val="00CD1FC7"/>
    <w:rsid w:val="00CD25FF"/>
    <w:rsid w:val="00CD427E"/>
    <w:rsid w:val="00CD42BE"/>
    <w:rsid w:val="00CD489E"/>
    <w:rsid w:val="00CD4D51"/>
    <w:rsid w:val="00CD4E92"/>
    <w:rsid w:val="00CD5B53"/>
    <w:rsid w:val="00CD5F1D"/>
    <w:rsid w:val="00CD6BE6"/>
    <w:rsid w:val="00CD7155"/>
    <w:rsid w:val="00CD7475"/>
    <w:rsid w:val="00CD7AB2"/>
    <w:rsid w:val="00CE0871"/>
    <w:rsid w:val="00CE0BA6"/>
    <w:rsid w:val="00CE0DB9"/>
    <w:rsid w:val="00CE0F50"/>
    <w:rsid w:val="00CE1A85"/>
    <w:rsid w:val="00CE1F99"/>
    <w:rsid w:val="00CE2070"/>
    <w:rsid w:val="00CE39AA"/>
    <w:rsid w:val="00CE464B"/>
    <w:rsid w:val="00CE4804"/>
    <w:rsid w:val="00CE4C19"/>
    <w:rsid w:val="00CE58C4"/>
    <w:rsid w:val="00CE62B7"/>
    <w:rsid w:val="00CE6DE2"/>
    <w:rsid w:val="00CE7CCC"/>
    <w:rsid w:val="00CF01C4"/>
    <w:rsid w:val="00CF0DF2"/>
    <w:rsid w:val="00CF3E48"/>
    <w:rsid w:val="00CF4F51"/>
    <w:rsid w:val="00CF513C"/>
    <w:rsid w:val="00CF5BA2"/>
    <w:rsid w:val="00CF611F"/>
    <w:rsid w:val="00CF6ADA"/>
    <w:rsid w:val="00CF74D6"/>
    <w:rsid w:val="00CF7CC3"/>
    <w:rsid w:val="00D01DFF"/>
    <w:rsid w:val="00D01EFE"/>
    <w:rsid w:val="00D029D0"/>
    <w:rsid w:val="00D03296"/>
    <w:rsid w:val="00D0376E"/>
    <w:rsid w:val="00D043DA"/>
    <w:rsid w:val="00D04ECF"/>
    <w:rsid w:val="00D056C5"/>
    <w:rsid w:val="00D061A1"/>
    <w:rsid w:val="00D06310"/>
    <w:rsid w:val="00D06686"/>
    <w:rsid w:val="00D07484"/>
    <w:rsid w:val="00D10DCF"/>
    <w:rsid w:val="00D124E2"/>
    <w:rsid w:val="00D12769"/>
    <w:rsid w:val="00D13230"/>
    <w:rsid w:val="00D13492"/>
    <w:rsid w:val="00D134BA"/>
    <w:rsid w:val="00D145B2"/>
    <w:rsid w:val="00D14E3F"/>
    <w:rsid w:val="00D15766"/>
    <w:rsid w:val="00D159C1"/>
    <w:rsid w:val="00D17AD8"/>
    <w:rsid w:val="00D20108"/>
    <w:rsid w:val="00D21059"/>
    <w:rsid w:val="00D216AF"/>
    <w:rsid w:val="00D21F3E"/>
    <w:rsid w:val="00D22A4D"/>
    <w:rsid w:val="00D22D4C"/>
    <w:rsid w:val="00D232FA"/>
    <w:rsid w:val="00D23771"/>
    <w:rsid w:val="00D23EAA"/>
    <w:rsid w:val="00D2444E"/>
    <w:rsid w:val="00D25A07"/>
    <w:rsid w:val="00D25AE4"/>
    <w:rsid w:val="00D26A54"/>
    <w:rsid w:val="00D2730A"/>
    <w:rsid w:val="00D27C67"/>
    <w:rsid w:val="00D30063"/>
    <w:rsid w:val="00D3076E"/>
    <w:rsid w:val="00D30918"/>
    <w:rsid w:val="00D3101F"/>
    <w:rsid w:val="00D31F1A"/>
    <w:rsid w:val="00D323A1"/>
    <w:rsid w:val="00D327A4"/>
    <w:rsid w:val="00D32ECF"/>
    <w:rsid w:val="00D332EB"/>
    <w:rsid w:val="00D34433"/>
    <w:rsid w:val="00D34834"/>
    <w:rsid w:val="00D354BD"/>
    <w:rsid w:val="00D35D98"/>
    <w:rsid w:val="00D36057"/>
    <w:rsid w:val="00D36876"/>
    <w:rsid w:val="00D37447"/>
    <w:rsid w:val="00D408AF"/>
    <w:rsid w:val="00D41F25"/>
    <w:rsid w:val="00D42224"/>
    <w:rsid w:val="00D43A3A"/>
    <w:rsid w:val="00D44566"/>
    <w:rsid w:val="00D446EB"/>
    <w:rsid w:val="00D44D86"/>
    <w:rsid w:val="00D45294"/>
    <w:rsid w:val="00D458F2"/>
    <w:rsid w:val="00D47984"/>
    <w:rsid w:val="00D47FB4"/>
    <w:rsid w:val="00D509DE"/>
    <w:rsid w:val="00D50E0C"/>
    <w:rsid w:val="00D5138A"/>
    <w:rsid w:val="00D51FF7"/>
    <w:rsid w:val="00D5208F"/>
    <w:rsid w:val="00D53443"/>
    <w:rsid w:val="00D539DC"/>
    <w:rsid w:val="00D53E77"/>
    <w:rsid w:val="00D53FAD"/>
    <w:rsid w:val="00D5449F"/>
    <w:rsid w:val="00D548EB"/>
    <w:rsid w:val="00D55852"/>
    <w:rsid w:val="00D55C26"/>
    <w:rsid w:val="00D55DDB"/>
    <w:rsid w:val="00D56D19"/>
    <w:rsid w:val="00D57487"/>
    <w:rsid w:val="00D576D8"/>
    <w:rsid w:val="00D57712"/>
    <w:rsid w:val="00D57BC0"/>
    <w:rsid w:val="00D60B89"/>
    <w:rsid w:val="00D60BCA"/>
    <w:rsid w:val="00D60EFA"/>
    <w:rsid w:val="00D61402"/>
    <w:rsid w:val="00D61B9E"/>
    <w:rsid w:val="00D62682"/>
    <w:rsid w:val="00D62AC7"/>
    <w:rsid w:val="00D63588"/>
    <w:rsid w:val="00D63A6E"/>
    <w:rsid w:val="00D640F4"/>
    <w:rsid w:val="00D64314"/>
    <w:rsid w:val="00D6458F"/>
    <w:rsid w:val="00D647F8"/>
    <w:rsid w:val="00D65253"/>
    <w:rsid w:val="00D65BFA"/>
    <w:rsid w:val="00D6672C"/>
    <w:rsid w:val="00D66AF8"/>
    <w:rsid w:val="00D676E4"/>
    <w:rsid w:val="00D67F10"/>
    <w:rsid w:val="00D70257"/>
    <w:rsid w:val="00D7030C"/>
    <w:rsid w:val="00D70F24"/>
    <w:rsid w:val="00D712F3"/>
    <w:rsid w:val="00D71CB9"/>
    <w:rsid w:val="00D72147"/>
    <w:rsid w:val="00D72701"/>
    <w:rsid w:val="00D72D6A"/>
    <w:rsid w:val="00D7341B"/>
    <w:rsid w:val="00D767C5"/>
    <w:rsid w:val="00D777EE"/>
    <w:rsid w:val="00D77B44"/>
    <w:rsid w:val="00D77EA1"/>
    <w:rsid w:val="00D80359"/>
    <w:rsid w:val="00D808C2"/>
    <w:rsid w:val="00D80D32"/>
    <w:rsid w:val="00D81024"/>
    <w:rsid w:val="00D81D82"/>
    <w:rsid w:val="00D81D8D"/>
    <w:rsid w:val="00D8227C"/>
    <w:rsid w:val="00D8313D"/>
    <w:rsid w:val="00D83465"/>
    <w:rsid w:val="00D83921"/>
    <w:rsid w:val="00D848D2"/>
    <w:rsid w:val="00D84A41"/>
    <w:rsid w:val="00D84A6A"/>
    <w:rsid w:val="00D84DB6"/>
    <w:rsid w:val="00D85416"/>
    <w:rsid w:val="00D855FE"/>
    <w:rsid w:val="00D8568F"/>
    <w:rsid w:val="00D85C9F"/>
    <w:rsid w:val="00D85DED"/>
    <w:rsid w:val="00D85EB1"/>
    <w:rsid w:val="00D85EC4"/>
    <w:rsid w:val="00D87683"/>
    <w:rsid w:val="00D87D15"/>
    <w:rsid w:val="00D90280"/>
    <w:rsid w:val="00D90766"/>
    <w:rsid w:val="00D907D7"/>
    <w:rsid w:val="00D90C6D"/>
    <w:rsid w:val="00D90FEB"/>
    <w:rsid w:val="00D915D8"/>
    <w:rsid w:val="00D91695"/>
    <w:rsid w:val="00D91FA1"/>
    <w:rsid w:val="00D920A6"/>
    <w:rsid w:val="00D9331E"/>
    <w:rsid w:val="00D93BAD"/>
    <w:rsid w:val="00D941AB"/>
    <w:rsid w:val="00D94A40"/>
    <w:rsid w:val="00D954F5"/>
    <w:rsid w:val="00D9581D"/>
    <w:rsid w:val="00D96577"/>
    <w:rsid w:val="00D96C9A"/>
    <w:rsid w:val="00D97E0F"/>
    <w:rsid w:val="00DA072B"/>
    <w:rsid w:val="00DA0795"/>
    <w:rsid w:val="00DA0F58"/>
    <w:rsid w:val="00DA1B03"/>
    <w:rsid w:val="00DA1BA6"/>
    <w:rsid w:val="00DA31FD"/>
    <w:rsid w:val="00DA36FB"/>
    <w:rsid w:val="00DA39B7"/>
    <w:rsid w:val="00DA423F"/>
    <w:rsid w:val="00DA46D8"/>
    <w:rsid w:val="00DA494E"/>
    <w:rsid w:val="00DA4C15"/>
    <w:rsid w:val="00DA5966"/>
    <w:rsid w:val="00DA5CD4"/>
    <w:rsid w:val="00DA5E38"/>
    <w:rsid w:val="00DA6EA2"/>
    <w:rsid w:val="00DA7476"/>
    <w:rsid w:val="00DB0719"/>
    <w:rsid w:val="00DB0AE3"/>
    <w:rsid w:val="00DB0C15"/>
    <w:rsid w:val="00DB118B"/>
    <w:rsid w:val="00DB25D1"/>
    <w:rsid w:val="00DB27B9"/>
    <w:rsid w:val="00DB2952"/>
    <w:rsid w:val="00DB3133"/>
    <w:rsid w:val="00DB336B"/>
    <w:rsid w:val="00DB37B1"/>
    <w:rsid w:val="00DB43A5"/>
    <w:rsid w:val="00DB4445"/>
    <w:rsid w:val="00DB5D6B"/>
    <w:rsid w:val="00DB5EB1"/>
    <w:rsid w:val="00DB6581"/>
    <w:rsid w:val="00DB7866"/>
    <w:rsid w:val="00DC0966"/>
    <w:rsid w:val="00DC0A82"/>
    <w:rsid w:val="00DC0D5C"/>
    <w:rsid w:val="00DC11C3"/>
    <w:rsid w:val="00DC2243"/>
    <w:rsid w:val="00DC25A8"/>
    <w:rsid w:val="00DC2BAF"/>
    <w:rsid w:val="00DC348B"/>
    <w:rsid w:val="00DC34F5"/>
    <w:rsid w:val="00DC5472"/>
    <w:rsid w:val="00DC5AD6"/>
    <w:rsid w:val="00DC5B84"/>
    <w:rsid w:val="00DC6250"/>
    <w:rsid w:val="00DC6327"/>
    <w:rsid w:val="00DD031C"/>
    <w:rsid w:val="00DD0563"/>
    <w:rsid w:val="00DD08D5"/>
    <w:rsid w:val="00DD097F"/>
    <w:rsid w:val="00DD0A6B"/>
    <w:rsid w:val="00DD13F1"/>
    <w:rsid w:val="00DD18B6"/>
    <w:rsid w:val="00DD1ACB"/>
    <w:rsid w:val="00DD2435"/>
    <w:rsid w:val="00DD3CBA"/>
    <w:rsid w:val="00DD46B4"/>
    <w:rsid w:val="00DD4EB9"/>
    <w:rsid w:val="00DD70C8"/>
    <w:rsid w:val="00DD76CF"/>
    <w:rsid w:val="00DD7BB7"/>
    <w:rsid w:val="00DD7DE1"/>
    <w:rsid w:val="00DE07BB"/>
    <w:rsid w:val="00DE0AEB"/>
    <w:rsid w:val="00DE0B52"/>
    <w:rsid w:val="00DE0B7D"/>
    <w:rsid w:val="00DE1306"/>
    <w:rsid w:val="00DE1DB7"/>
    <w:rsid w:val="00DE1DF1"/>
    <w:rsid w:val="00DE32B1"/>
    <w:rsid w:val="00DE3354"/>
    <w:rsid w:val="00DE3662"/>
    <w:rsid w:val="00DE3C53"/>
    <w:rsid w:val="00DE4833"/>
    <w:rsid w:val="00DE4A4F"/>
    <w:rsid w:val="00DE4EB8"/>
    <w:rsid w:val="00DE5590"/>
    <w:rsid w:val="00DE57C7"/>
    <w:rsid w:val="00DE5A80"/>
    <w:rsid w:val="00DE5DFB"/>
    <w:rsid w:val="00DE5E2C"/>
    <w:rsid w:val="00DE669A"/>
    <w:rsid w:val="00DE7141"/>
    <w:rsid w:val="00DE73E0"/>
    <w:rsid w:val="00DE75A5"/>
    <w:rsid w:val="00DE7978"/>
    <w:rsid w:val="00DF0CE3"/>
    <w:rsid w:val="00DF1A94"/>
    <w:rsid w:val="00DF1CD5"/>
    <w:rsid w:val="00DF1E76"/>
    <w:rsid w:val="00DF23D7"/>
    <w:rsid w:val="00DF268E"/>
    <w:rsid w:val="00DF27F4"/>
    <w:rsid w:val="00DF2867"/>
    <w:rsid w:val="00DF2C5E"/>
    <w:rsid w:val="00DF3074"/>
    <w:rsid w:val="00DF4C4B"/>
    <w:rsid w:val="00DF4E6C"/>
    <w:rsid w:val="00DF5EA7"/>
    <w:rsid w:val="00DF68FE"/>
    <w:rsid w:val="00DF690E"/>
    <w:rsid w:val="00DF772C"/>
    <w:rsid w:val="00DF77EB"/>
    <w:rsid w:val="00DF7B53"/>
    <w:rsid w:val="00DF7BAE"/>
    <w:rsid w:val="00DF7D9A"/>
    <w:rsid w:val="00E00299"/>
    <w:rsid w:val="00E025D9"/>
    <w:rsid w:val="00E03120"/>
    <w:rsid w:val="00E033BC"/>
    <w:rsid w:val="00E04313"/>
    <w:rsid w:val="00E047F8"/>
    <w:rsid w:val="00E0497A"/>
    <w:rsid w:val="00E04FE4"/>
    <w:rsid w:val="00E051E0"/>
    <w:rsid w:val="00E0563F"/>
    <w:rsid w:val="00E05716"/>
    <w:rsid w:val="00E06067"/>
    <w:rsid w:val="00E06597"/>
    <w:rsid w:val="00E06A43"/>
    <w:rsid w:val="00E06D8F"/>
    <w:rsid w:val="00E07665"/>
    <w:rsid w:val="00E07B47"/>
    <w:rsid w:val="00E07F0E"/>
    <w:rsid w:val="00E103D0"/>
    <w:rsid w:val="00E105A6"/>
    <w:rsid w:val="00E1068E"/>
    <w:rsid w:val="00E10838"/>
    <w:rsid w:val="00E10A59"/>
    <w:rsid w:val="00E113A7"/>
    <w:rsid w:val="00E1155A"/>
    <w:rsid w:val="00E11ADF"/>
    <w:rsid w:val="00E12187"/>
    <w:rsid w:val="00E123AB"/>
    <w:rsid w:val="00E12463"/>
    <w:rsid w:val="00E1258C"/>
    <w:rsid w:val="00E1267B"/>
    <w:rsid w:val="00E127DC"/>
    <w:rsid w:val="00E12CD5"/>
    <w:rsid w:val="00E1383A"/>
    <w:rsid w:val="00E13A2F"/>
    <w:rsid w:val="00E14302"/>
    <w:rsid w:val="00E14B81"/>
    <w:rsid w:val="00E15C82"/>
    <w:rsid w:val="00E15CED"/>
    <w:rsid w:val="00E15DC9"/>
    <w:rsid w:val="00E15E78"/>
    <w:rsid w:val="00E15EB5"/>
    <w:rsid w:val="00E167C8"/>
    <w:rsid w:val="00E16923"/>
    <w:rsid w:val="00E16C29"/>
    <w:rsid w:val="00E16C87"/>
    <w:rsid w:val="00E16FE0"/>
    <w:rsid w:val="00E17675"/>
    <w:rsid w:val="00E17960"/>
    <w:rsid w:val="00E17F83"/>
    <w:rsid w:val="00E20271"/>
    <w:rsid w:val="00E20AB6"/>
    <w:rsid w:val="00E20E30"/>
    <w:rsid w:val="00E212B3"/>
    <w:rsid w:val="00E214D4"/>
    <w:rsid w:val="00E2297E"/>
    <w:rsid w:val="00E231AF"/>
    <w:rsid w:val="00E2351D"/>
    <w:rsid w:val="00E23D55"/>
    <w:rsid w:val="00E23EEB"/>
    <w:rsid w:val="00E24740"/>
    <w:rsid w:val="00E24CD9"/>
    <w:rsid w:val="00E25296"/>
    <w:rsid w:val="00E253FB"/>
    <w:rsid w:val="00E2570A"/>
    <w:rsid w:val="00E2638A"/>
    <w:rsid w:val="00E26C7B"/>
    <w:rsid w:val="00E27D60"/>
    <w:rsid w:val="00E30385"/>
    <w:rsid w:val="00E3046F"/>
    <w:rsid w:val="00E31D1A"/>
    <w:rsid w:val="00E31ECF"/>
    <w:rsid w:val="00E32025"/>
    <w:rsid w:val="00E32CEF"/>
    <w:rsid w:val="00E33404"/>
    <w:rsid w:val="00E341E6"/>
    <w:rsid w:val="00E34420"/>
    <w:rsid w:val="00E34EDF"/>
    <w:rsid w:val="00E3538B"/>
    <w:rsid w:val="00E35947"/>
    <w:rsid w:val="00E35FDD"/>
    <w:rsid w:val="00E37021"/>
    <w:rsid w:val="00E3789A"/>
    <w:rsid w:val="00E40A75"/>
    <w:rsid w:val="00E40B89"/>
    <w:rsid w:val="00E410D7"/>
    <w:rsid w:val="00E410EA"/>
    <w:rsid w:val="00E414D1"/>
    <w:rsid w:val="00E416FF"/>
    <w:rsid w:val="00E4268B"/>
    <w:rsid w:val="00E427A6"/>
    <w:rsid w:val="00E42A3D"/>
    <w:rsid w:val="00E42DA6"/>
    <w:rsid w:val="00E4320A"/>
    <w:rsid w:val="00E43332"/>
    <w:rsid w:val="00E43C7E"/>
    <w:rsid w:val="00E444A2"/>
    <w:rsid w:val="00E462A6"/>
    <w:rsid w:val="00E4636F"/>
    <w:rsid w:val="00E4753B"/>
    <w:rsid w:val="00E4785E"/>
    <w:rsid w:val="00E478CB"/>
    <w:rsid w:val="00E47C85"/>
    <w:rsid w:val="00E47E9F"/>
    <w:rsid w:val="00E5000A"/>
    <w:rsid w:val="00E51276"/>
    <w:rsid w:val="00E518CD"/>
    <w:rsid w:val="00E51948"/>
    <w:rsid w:val="00E52126"/>
    <w:rsid w:val="00E52869"/>
    <w:rsid w:val="00E52A21"/>
    <w:rsid w:val="00E53356"/>
    <w:rsid w:val="00E53BC5"/>
    <w:rsid w:val="00E53DCF"/>
    <w:rsid w:val="00E543B5"/>
    <w:rsid w:val="00E54B6C"/>
    <w:rsid w:val="00E55B79"/>
    <w:rsid w:val="00E55DF2"/>
    <w:rsid w:val="00E55F36"/>
    <w:rsid w:val="00E56022"/>
    <w:rsid w:val="00E56FA8"/>
    <w:rsid w:val="00E57600"/>
    <w:rsid w:val="00E57A90"/>
    <w:rsid w:val="00E60044"/>
    <w:rsid w:val="00E60516"/>
    <w:rsid w:val="00E6064F"/>
    <w:rsid w:val="00E61027"/>
    <w:rsid w:val="00E611A6"/>
    <w:rsid w:val="00E616E0"/>
    <w:rsid w:val="00E61AB2"/>
    <w:rsid w:val="00E6202C"/>
    <w:rsid w:val="00E62642"/>
    <w:rsid w:val="00E63567"/>
    <w:rsid w:val="00E641CC"/>
    <w:rsid w:val="00E64A90"/>
    <w:rsid w:val="00E64CBD"/>
    <w:rsid w:val="00E64EE4"/>
    <w:rsid w:val="00E65ED2"/>
    <w:rsid w:val="00E65F66"/>
    <w:rsid w:val="00E66228"/>
    <w:rsid w:val="00E66C70"/>
    <w:rsid w:val="00E673EC"/>
    <w:rsid w:val="00E67A1B"/>
    <w:rsid w:val="00E67D31"/>
    <w:rsid w:val="00E67F24"/>
    <w:rsid w:val="00E70935"/>
    <w:rsid w:val="00E70F9C"/>
    <w:rsid w:val="00E7161E"/>
    <w:rsid w:val="00E71F32"/>
    <w:rsid w:val="00E73867"/>
    <w:rsid w:val="00E73A34"/>
    <w:rsid w:val="00E73B7D"/>
    <w:rsid w:val="00E73E3A"/>
    <w:rsid w:val="00E73F44"/>
    <w:rsid w:val="00E742B8"/>
    <w:rsid w:val="00E74CCC"/>
    <w:rsid w:val="00E74E9B"/>
    <w:rsid w:val="00E75697"/>
    <w:rsid w:val="00E75F21"/>
    <w:rsid w:val="00E768DB"/>
    <w:rsid w:val="00E769AC"/>
    <w:rsid w:val="00E76C4A"/>
    <w:rsid w:val="00E770E6"/>
    <w:rsid w:val="00E771E1"/>
    <w:rsid w:val="00E7795C"/>
    <w:rsid w:val="00E8003B"/>
    <w:rsid w:val="00E806F3"/>
    <w:rsid w:val="00E80E6F"/>
    <w:rsid w:val="00E810AB"/>
    <w:rsid w:val="00E81253"/>
    <w:rsid w:val="00E813AB"/>
    <w:rsid w:val="00E81439"/>
    <w:rsid w:val="00E817B9"/>
    <w:rsid w:val="00E81D04"/>
    <w:rsid w:val="00E82462"/>
    <w:rsid w:val="00E825C1"/>
    <w:rsid w:val="00E83006"/>
    <w:rsid w:val="00E8303D"/>
    <w:rsid w:val="00E8479B"/>
    <w:rsid w:val="00E8495A"/>
    <w:rsid w:val="00E852E9"/>
    <w:rsid w:val="00E8532B"/>
    <w:rsid w:val="00E854F9"/>
    <w:rsid w:val="00E85647"/>
    <w:rsid w:val="00E85EDC"/>
    <w:rsid w:val="00E867CE"/>
    <w:rsid w:val="00E86CBA"/>
    <w:rsid w:val="00E9030C"/>
    <w:rsid w:val="00E91C6C"/>
    <w:rsid w:val="00E927CE"/>
    <w:rsid w:val="00E92D0E"/>
    <w:rsid w:val="00E931B7"/>
    <w:rsid w:val="00E93DBD"/>
    <w:rsid w:val="00E94012"/>
    <w:rsid w:val="00E94865"/>
    <w:rsid w:val="00E949B5"/>
    <w:rsid w:val="00E949E2"/>
    <w:rsid w:val="00E9583F"/>
    <w:rsid w:val="00E95B86"/>
    <w:rsid w:val="00E95D5A"/>
    <w:rsid w:val="00E95E1F"/>
    <w:rsid w:val="00E963E2"/>
    <w:rsid w:val="00E96584"/>
    <w:rsid w:val="00E96AEB"/>
    <w:rsid w:val="00E96C9B"/>
    <w:rsid w:val="00E96E06"/>
    <w:rsid w:val="00E96F98"/>
    <w:rsid w:val="00E97AF1"/>
    <w:rsid w:val="00EA0217"/>
    <w:rsid w:val="00EA0489"/>
    <w:rsid w:val="00EA0FC0"/>
    <w:rsid w:val="00EA102A"/>
    <w:rsid w:val="00EA2D99"/>
    <w:rsid w:val="00EA3588"/>
    <w:rsid w:val="00EA3B03"/>
    <w:rsid w:val="00EA431F"/>
    <w:rsid w:val="00EA4538"/>
    <w:rsid w:val="00EA4556"/>
    <w:rsid w:val="00EA4B57"/>
    <w:rsid w:val="00EA51C6"/>
    <w:rsid w:val="00EA522B"/>
    <w:rsid w:val="00EA54D7"/>
    <w:rsid w:val="00EA5D0A"/>
    <w:rsid w:val="00EA5FAA"/>
    <w:rsid w:val="00EA65A1"/>
    <w:rsid w:val="00EB013F"/>
    <w:rsid w:val="00EB05DE"/>
    <w:rsid w:val="00EB1325"/>
    <w:rsid w:val="00EB213E"/>
    <w:rsid w:val="00EB218A"/>
    <w:rsid w:val="00EB2216"/>
    <w:rsid w:val="00EB2FF1"/>
    <w:rsid w:val="00EB36A6"/>
    <w:rsid w:val="00EB402B"/>
    <w:rsid w:val="00EB485A"/>
    <w:rsid w:val="00EB4E49"/>
    <w:rsid w:val="00EB5C5B"/>
    <w:rsid w:val="00EB6767"/>
    <w:rsid w:val="00EB6F4B"/>
    <w:rsid w:val="00EB70B2"/>
    <w:rsid w:val="00EB79BA"/>
    <w:rsid w:val="00EB7A17"/>
    <w:rsid w:val="00EB7EC3"/>
    <w:rsid w:val="00EC05BF"/>
    <w:rsid w:val="00EC094A"/>
    <w:rsid w:val="00EC0B28"/>
    <w:rsid w:val="00EC0C88"/>
    <w:rsid w:val="00EC1B01"/>
    <w:rsid w:val="00EC2133"/>
    <w:rsid w:val="00EC34EB"/>
    <w:rsid w:val="00EC3812"/>
    <w:rsid w:val="00EC3E67"/>
    <w:rsid w:val="00EC478F"/>
    <w:rsid w:val="00EC49C6"/>
    <w:rsid w:val="00EC4D41"/>
    <w:rsid w:val="00EC5BC9"/>
    <w:rsid w:val="00EC77D5"/>
    <w:rsid w:val="00ED21C8"/>
    <w:rsid w:val="00ED2B48"/>
    <w:rsid w:val="00ED422F"/>
    <w:rsid w:val="00ED5E90"/>
    <w:rsid w:val="00ED68AB"/>
    <w:rsid w:val="00ED6CF3"/>
    <w:rsid w:val="00ED6F88"/>
    <w:rsid w:val="00ED75B1"/>
    <w:rsid w:val="00ED7726"/>
    <w:rsid w:val="00ED7BC5"/>
    <w:rsid w:val="00EE04EA"/>
    <w:rsid w:val="00EE1888"/>
    <w:rsid w:val="00EE23C4"/>
    <w:rsid w:val="00EE3310"/>
    <w:rsid w:val="00EE3610"/>
    <w:rsid w:val="00EE3648"/>
    <w:rsid w:val="00EE40E6"/>
    <w:rsid w:val="00EE4236"/>
    <w:rsid w:val="00EE42EF"/>
    <w:rsid w:val="00EE48F0"/>
    <w:rsid w:val="00EE4D55"/>
    <w:rsid w:val="00EE5BF0"/>
    <w:rsid w:val="00EE610E"/>
    <w:rsid w:val="00EE62B0"/>
    <w:rsid w:val="00EE6AE5"/>
    <w:rsid w:val="00EE6D0E"/>
    <w:rsid w:val="00EE7C47"/>
    <w:rsid w:val="00EF0CFF"/>
    <w:rsid w:val="00EF1052"/>
    <w:rsid w:val="00EF1143"/>
    <w:rsid w:val="00EF1A3B"/>
    <w:rsid w:val="00EF268C"/>
    <w:rsid w:val="00EF2CCD"/>
    <w:rsid w:val="00EF3354"/>
    <w:rsid w:val="00EF34F4"/>
    <w:rsid w:val="00EF362B"/>
    <w:rsid w:val="00EF3B7C"/>
    <w:rsid w:val="00EF56EC"/>
    <w:rsid w:val="00EF5793"/>
    <w:rsid w:val="00EF5F77"/>
    <w:rsid w:val="00EF641E"/>
    <w:rsid w:val="00EF6424"/>
    <w:rsid w:val="00EF6C09"/>
    <w:rsid w:val="00EF764E"/>
    <w:rsid w:val="00EF7A52"/>
    <w:rsid w:val="00F01780"/>
    <w:rsid w:val="00F01B4F"/>
    <w:rsid w:val="00F02013"/>
    <w:rsid w:val="00F02152"/>
    <w:rsid w:val="00F023D1"/>
    <w:rsid w:val="00F0343B"/>
    <w:rsid w:val="00F037A6"/>
    <w:rsid w:val="00F04145"/>
    <w:rsid w:val="00F04912"/>
    <w:rsid w:val="00F04E58"/>
    <w:rsid w:val="00F04FE6"/>
    <w:rsid w:val="00F05303"/>
    <w:rsid w:val="00F05338"/>
    <w:rsid w:val="00F05DDA"/>
    <w:rsid w:val="00F068F4"/>
    <w:rsid w:val="00F06AB2"/>
    <w:rsid w:val="00F06B2D"/>
    <w:rsid w:val="00F06FF4"/>
    <w:rsid w:val="00F1065F"/>
    <w:rsid w:val="00F10E04"/>
    <w:rsid w:val="00F126A2"/>
    <w:rsid w:val="00F13166"/>
    <w:rsid w:val="00F13C4F"/>
    <w:rsid w:val="00F13F07"/>
    <w:rsid w:val="00F1405E"/>
    <w:rsid w:val="00F14647"/>
    <w:rsid w:val="00F14BBF"/>
    <w:rsid w:val="00F14D00"/>
    <w:rsid w:val="00F1508D"/>
    <w:rsid w:val="00F15645"/>
    <w:rsid w:val="00F16CC3"/>
    <w:rsid w:val="00F173CB"/>
    <w:rsid w:val="00F17873"/>
    <w:rsid w:val="00F17D55"/>
    <w:rsid w:val="00F2007D"/>
    <w:rsid w:val="00F20E34"/>
    <w:rsid w:val="00F21EAD"/>
    <w:rsid w:val="00F21F02"/>
    <w:rsid w:val="00F2346B"/>
    <w:rsid w:val="00F23F8D"/>
    <w:rsid w:val="00F241A5"/>
    <w:rsid w:val="00F24F51"/>
    <w:rsid w:val="00F25859"/>
    <w:rsid w:val="00F259E3"/>
    <w:rsid w:val="00F25D39"/>
    <w:rsid w:val="00F2680C"/>
    <w:rsid w:val="00F26C60"/>
    <w:rsid w:val="00F26CE2"/>
    <w:rsid w:val="00F2721A"/>
    <w:rsid w:val="00F272F9"/>
    <w:rsid w:val="00F31606"/>
    <w:rsid w:val="00F31695"/>
    <w:rsid w:val="00F32013"/>
    <w:rsid w:val="00F32EA3"/>
    <w:rsid w:val="00F33052"/>
    <w:rsid w:val="00F339B0"/>
    <w:rsid w:val="00F33C62"/>
    <w:rsid w:val="00F34115"/>
    <w:rsid w:val="00F341F3"/>
    <w:rsid w:val="00F34845"/>
    <w:rsid w:val="00F34972"/>
    <w:rsid w:val="00F34B87"/>
    <w:rsid w:val="00F34BCE"/>
    <w:rsid w:val="00F34ED7"/>
    <w:rsid w:val="00F3556E"/>
    <w:rsid w:val="00F35B59"/>
    <w:rsid w:val="00F35DDC"/>
    <w:rsid w:val="00F35F93"/>
    <w:rsid w:val="00F3605B"/>
    <w:rsid w:val="00F365A7"/>
    <w:rsid w:val="00F375C9"/>
    <w:rsid w:val="00F40964"/>
    <w:rsid w:val="00F4117C"/>
    <w:rsid w:val="00F41188"/>
    <w:rsid w:val="00F4128F"/>
    <w:rsid w:val="00F41392"/>
    <w:rsid w:val="00F42292"/>
    <w:rsid w:val="00F42438"/>
    <w:rsid w:val="00F42CEB"/>
    <w:rsid w:val="00F42F0C"/>
    <w:rsid w:val="00F43444"/>
    <w:rsid w:val="00F434B4"/>
    <w:rsid w:val="00F44297"/>
    <w:rsid w:val="00F45309"/>
    <w:rsid w:val="00F46423"/>
    <w:rsid w:val="00F46769"/>
    <w:rsid w:val="00F46B26"/>
    <w:rsid w:val="00F46D21"/>
    <w:rsid w:val="00F46DB5"/>
    <w:rsid w:val="00F473FF"/>
    <w:rsid w:val="00F47E6A"/>
    <w:rsid w:val="00F507CE"/>
    <w:rsid w:val="00F507E2"/>
    <w:rsid w:val="00F509A3"/>
    <w:rsid w:val="00F51109"/>
    <w:rsid w:val="00F51E45"/>
    <w:rsid w:val="00F51FA3"/>
    <w:rsid w:val="00F521B6"/>
    <w:rsid w:val="00F5220A"/>
    <w:rsid w:val="00F5221E"/>
    <w:rsid w:val="00F524C4"/>
    <w:rsid w:val="00F53D06"/>
    <w:rsid w:val="00F54496"/>
    <w:rsid w:val="00F55451"/>
    <w:rsid w:val="00F557B0"/>
    <w:rsid w:val="00F557C0"/>
    <w:rsid w:val="00F563B4"/>
    <w:rsid w:val="00F564F9"/>
    <w:rsid w:val="00F5686B"/>
    <w:rsid w:val="00F56E6D"/>
    <w:rsid w:val="00F5785B"/>
    <w:rsid w:val="00F57AB8"/>
    <w:rsid w:val="00F60065"/>
    <w:rsid w:val="00F61F65"/>
    <w:rsid w:val="00F62428"/>
    <w:rsid w:val="00F6281A"/>
    <w:rsid w:val="00F6326F"/>
    <w:rsid w:val="00F63862"/>
    <w:rsid w:val="00F63CCD"/>
    <w:rsid w:val="00F646DB"/>
    <w:rsid w:val="00F64917"/>
    <w:rsid w:val="00F6504E"/>
    <w:rsid w:val="00F6580A"/>
    <w:rsid w:val="00F65BFC"/>
    <w:rsid w:val="00F65C20"/>
    <w:rsid w:val="00F65DBA"/>
    <w:rsid w:val="00F66793"/>
    <w:rsid w:val="00F67017"/>
    <w:rsid w:val="00F670F3"/>
    <w:rsid w:val="00F672A7"/>
    <w:rsid w:val="00F6731E"/>
    <w:rsid w:val="00F7008D"/>
    <w:rsid w:val="00F70093"/>
    <w:rsid w:val="00F70144"/>
    <w:rsid w:val="00F70B7D"/>
    <w:rsid w:val="00F7146C"/>
    <w:rsid w:val="00F729E4"/>
    <w:rsid w:val="00F72A4F"/>
    <w:rsid w:val="00F72D85"/>
    <w:rsid w:val="00F731B9"/>
    <w:rsid w:val="00F73A5A"/>
    <w:rsid w:val="00F73FFE"/>
    <w:rsid w:val="00F74055"/>
    <w:rsid w:val="00F74892"/>
    <w:rsid w:val="00F74FA8"/>
    <w:rsid w:val="00F752D0"/>
    <w:rsid w:val="00F7553E"/>
    <w:rsid w:val="00F7565D"/>
    <w:rsid w:val="00F75678"/>
    <w:rsid w:val="00F75860"/>
    <w:rsid w:val="00F7648D"/>
    <w:rsid w:val="00F803F6"/>
    <w:rsid w:val="00F815D4"/>
    <w:rsid w:val="00F819C1"/>
    <w:rsid w:val="00F82424"/>
    <w:rsid w:val="00F825B6"/>
    <w:rsid w:val="00F82819"/>
    <w:rsid w:val="00F82F9A"/>
    <w:rsid w:val="00F82FA1"/>
    <w:rsid w:val="00F84480"/>
    <w:rsid w:val="00F84CEC"/>
    <w:rsid w:val="00F8512E"/>
    <w:rsid w:val="00F85599"/>
    <w:rsid w:val="00F855E9"/>
    <w:rsid w:val="00F85C1E"/>
    <w:rsid w:val="00F85C8B"/>
    <w:rsid w:val="00F85D02"/>
    <w:rsid w:val="00F865FC"/>
    <w:rsid w:val="00F86604"/>
    <w:rsid w:val="00F86ED0"/>
    <w:rsid w:val="00F86F89"/>
    <w:rsid w:val="00F8720A"/>
    <w:rsid w:val="00F87558"/>
    <w:rsid w:val="00F87840"/>
    <w:rsid w:val="00F90726"/>
    <w:rsid w:val="00F90D8E"/>
    <w:rsid w:val="00F90E29"/>
    <w:rsid w:val="00F90F64"/>
    <w:rsid w:val="00F90F7D"/>
    <w:rsid w:val="00F91F62"/>
    <w:rsid w:val="00F926D8"/>
    <w:rsid w:val="00F928AF"/>
    <w:rsid w:val="00F92C13"/>
    <w:rsid w:val="00F92C62"/>
    <w:rsid w:val="00F92D2E"/>
    <w:rsid w:val="00F93F81"/>
    <w:rsid w:val="00F944FC"/>
    <w:rsid w:val="00F948D5"/>
    <w:rsid w:val="00F955FA"/>
    <w:rsid w:val="00F963CA"/>
    <w:rsid w:val="00F9689E"/>
    <w:rsid w:val="00F97452"/>
    <w:rsid w:val="00F97715"/>
    <w:rsid w:val="00F97894"/>
    <w:rsid w:val="00FA05CF"/>
    <w:rsid w:val="00FA0723"/>
    <w:rsid w:val="00FA0764"/>
    <w:rsid w:val="00FA1695"/>
    <w:rsid w:val="00FA1857"/>
    <w:rsid w:val="00FA1C4D"/>
    <w:rsid w:val="00FA22C4"/>
    <w:rsid w:val="00FA2739"/>
    <w:rsid w:val="00FA284F"/>
    <w:rsid w:val="00FA2F9E"/>
    <w:rsid w:val="00FA393C"/>
    <w:rsid w:val="00FA454F"/>
    <w:rsid w:val="00FA518C"/>
    <w:rsid w:val="00FA5CD5"/>
    <w:rsid w:val="00FA5D0F"/>
    <w:rsid w:val="00FA68FF"/>
    <w:rsid w:val="00FA6B94"/>
    <w:rsid w:val="00FA78CF"/>
    <w:rsid w:val="00FB006A"/>
    <w:rsid w:val="00FB0623"/>
    <w:rsid w:val="00FB0B0A"/>
    <w:rsid w:val="00FB1944"/>
    <w:rsid w:val="00FB1F4D"/>
    <w:rsid w:val="00FB2035"/>
    <w:rsid w:val="00FB217C"/>
    <w:rsid w:val="00FB2837"/>
    <w:rsid w:val="00FB2EF2"/>
    <w:rsid w:val="00FB3B43"/>
    <w:rsid w:val="00FB430F"/>
    <w:rsid w:val="00FB5134"/>
    <w:rsid w:val="00FB5423"/>
    <w:rsid w:val="00FB56B4"/>
    <w:rsid w:val="00FB5A76"/>
    <w:rsid w:val="00FB6045"/>
    <w:rsid w:val="00FB6260"/>
    <w:rsid w:val="00FB6368"/>
    <w:rsid w:val="00FB716E"/>
    <w:rsid w:val="00FB7C82"/>
    <w:rsid w:val="00FC054E"/>
    <w:rsid w:val="00FC122B"/>
    <w:rsid w:val="00FC1D7F"/>
    <w:rsid w:val="00FC262F"/>
    <w:rsid w:val="00FC28A7"/>
    <w:rsid w:val="00FC2BEF"/>
    <w:rsid w:val="00FC30B5"/>
    <w:rsid w:val="00FC30FB"/>
    <w:rsid w:val="00FC39D5"/>
    <w:rsid w:val="00FC4093"/>
    <w:rsid w:val="00FC4D66"/>
    <w:rsid w:val="00FC4EAF"/>
    <w:rsid w:val="00FC5047"/>
    <w:rsid w:val="00FC5724"/>
    <w:rsid w:val="00FC58A8"/>
    <w:rsid w:val="00FC5B7C"/>
    <w:rsid w:val="00FC6C20"/>
    <w:rsid w:val="00FC71E3"/>
    <w:rsid w:val="00FC752D"/>
    <w:rsid w:val="00FC75BD"/>
    <w:rsid w:val="00FC77A8"/>
    <w:rsid w:val="00FD0355"/>
    <w:rsid w:val="00FD096B"/>
    <w:rsid w:val="00FD13FD"/>
    <w:rsid w:val="00FD1403"/>
    <w:rsid w:val="00FD208A"/>
    <w:rsid w:val="00FD259D"/>
    <w:rsid w:val="00FD296D"/>
    <w:rsid w:val="00FD2E28"/>
    <w:rsid w:val="00FD31A9"/>
    <w:rsid w:val="00FD329B"/>
    <w:rsid w:val="00FD445B"/>
    <w:rsid w:val="00FD4F47"/>
    <w:rsid w:val="00FD57AC"/>
    <w:rsid w:val="00FD5B90"/>
    <w:rsid w:val="00FD62DD"/>
    <w:rsid w:val="00FD64C3"/>
    <w:rsid w:val="00FD662A"/>
    <w:rsid w:val="00FD6ABE"/>
    <w:rsid w:val="00FD6B8B"/>
    <w:rsid w:val="00FD72CB"/>
    <w:rsid w:val="00FD75F9"/>
    <w:rsid w:val="00FE0857"/>
    <w:rsid w:val="00FE1298"/>
    <w:rsid w:val="00FE1829"/>
    <w:rsid w:val="00FE1D9B"/>
    <w:rsid w:val="00FE3440"/>
    <w:rsid w:val="00FE3BD6"/>
    <w:rsid w:val="00FE4503"/>
    <w:rsid w:val="00FE5B8C"/>
    <w:rsid w:val="00FE68FC"/>
    <w:rsid w:val="00FE69B6"/>
    <w:rsid w:val="00FE7772"/>
    <w:rsid w:val="00FE7DD5"/>
    <w:rsid w:val="00FE7E63"/>
    <w:rsid w:val="00FF0036"/>
    <w:rsid w:val="00FF0CCA"/>
    <w:rsid w:val="00FF0DA7"/>
    <w:rsid w:val="00FF2D2B"/>
    <w:rsid w:val="00FF2E29"/>
    <w:rsid w:val="00FF3341"/>
    <w:rsid w:val="00FF404A"/>
    <w:rsid w:val="00FF5005"/>
    <w:rsid w:val="00FF5B8A"/>
    <w:rsid w:val="00FF6EE4"/>
    <w:rsid w:val="0112562C"/>
    <w:rsid w:val="018800AA"/>
    <w:rsid w:val="01953CF4"/>
    <w:rsid w:val="01FF420C"/>
    <w:rsid w:val="02BE4901"/>
    <w:rsid w:val="03823CCE"/>
    <w:rsid w:val="04752218"/>
    <w:rsid w:val="04806B7E"/>
    <w:rsid w:val="05C55C2E"/>
    <w:rsid w:val="0637581D"/>
    <w:rsid w:val="063F7AB5"/>
    <w:rsid w:val="07564B65"/>
    <w:rsid w:val="091907C8"/>
    <w:rsid w:val="093667F2"/>
    <w:rsid w:val="09542584"/>
    <w:rsid w:val="09D72C99"/>
    <w:rsid w:val="0A491491"/>
    <w:rsid w:val="0B5F6E5D"/>
    <w:rsid w:val="0BD95AE1"/>
    <w:rsid w:val="0C1C61E1"/>
    <w:rsid w:val="0C303ECB"/>
    <w:rsid w:val="0C8655D1"/>
    <w:rsid w:val="0F525467"/>
    <w:rsid w:val="0F8B024A"/>
    <w:rsid w:val="0FDA68AA"/>
    <w:rsid w:val="111F41C0"/>
    <w:rsid w:val="11A502B5"/>
    <w:rsid w:val="125A4EAA"/>
    <w:rsid w:val="12A02E80"/>
    <w:rsid w:val="12B23BCF"/>
    <w:rsid w:val="13392E6D"/>
    <w:rsid w:val="144C30DB"/>
    <w:rsid w:val="14576AE2"/>
    <w:rsid w:val="14764DB5"/>
    <w:rsid w:val="15EF77C6"/>
    <w:rsid w:val="166824B4"/>
    <w:rsid w:val="16E46B93"/>
    <w:rsid w:val="17060160"/>
    <w:rsid w:val="18650326"/>
    <w:rsid w:val="193623D1"/>
    <w:rsid w:val="197A336A"/>
    <w:rsid w:val="19E57B15"/>
    <w:rsid w:val="1A145EE5"/>
    <w:rsid w:val="1A5D4B06"/>
    <w:rsid w:val="1B545DD1"/>
    <w:rsid w:val="1C1E5D3E"/>
    <w:rsid w:val="1D2241D4"/>
    <w:rsid w:val="1D43574A"/>
    <w:rsid w:val="1F8B4261"/>
    <w:rsid w:val="1F9B7FFA"/>
    <w:rsid w:val="226E17EF"/>
    <w:rsid w:val="229E0E8F"/>
    <w:rsid w:val="22C20E17"/>
    <w:rsid w:val="23917DB2"/>
    <w:rsid w:val="23C925DD"/>
    <w:rsid w:val="24E56C29"/>
    <w:rsid w:val="27DF4678"/>
    <w:rsid w:val="295419DA"/>
    <w:rsid w:val="29FE4971"/>
    <w:rsid w:val="2A947DE8"/>
    <w:rsid w:val="2B28065B"/>
    <w:rsid w:val="2B345733"/>
    <w:rsid w:val="2B3F72B2"/>
    <w:rsid w:val="2B4F306B"/>
    <w:rsid w:val="2B7259B8"/>
    <w:rsid w:val="2BDB354D"/>
    <w:rsid w:val="2CE03230"/>
    <w:rsid w:val="2E462A06"/>
    <w:rsid w:val="2E6D0438"/>
    <w:rsid w:val="2F6621DF"/>
    <w:rsid w:val="2FC32F68"/>
    <w:rsid w:val="30761D31"/>
    <w:rsid w:val="30BA3ED1"/>
    <w:rsid w:val="30BE3A29"/>
    <w:rsid w:val="31204968"/>
    <w:rsid w:val="33EA35AD"/>
    <w:rsid w:val="353A0AAB"/>
    <w:rsid w:val="357339D9"/>
    <w:rsid w:val="35A10BB2"/>
    <w:rsid w:val="36273A23"/>
    <w:rsid w:val="362B08C7"/>
    <w:rsid w:val="36310C28"/>
    <w:rsid w:val="36792C62"/>
    <w:rsid w:val="368461D9"/>
    <w:rsid w:val="36F40202"/>
    <w:rsid w:val="37166B78"/>
    <w:rsid w:val="376A5776"/>
    <w:rsid w:val="38C079AD"/>
    <w:rsid w:val="38C9453B"/>
    <w:rsid w:val="392D14D4"/>
    <w:rsid w:val="39411259"/>
    <w:rsid w:val="3AE31128"/>
    <w:rsid w:val="3B674128"/>
    <w:rsid w:val="3BF646CD"/>
    <w:rsid w:val="3C7209A7"/>
    <w:rsid w:val="3CA45F55"/>
    <w:rsid w:val="3CED5BAF"/>
    <w:rsid w:val="3E71782D"/>
    <w:rsid w:val="3F486CE9"/>
    <w:rsid w:val="3F5546BC"/>
    <w:rsid w:val="3FE27CDB"/>
    <w:rsid w:val="3FED4319"/>
    <w:rsid w:val="422C2522"/>
    <w:rsid w:val="42AC253D"/>
    <w:rsid w:val="43266FB8"/>
    <w:rsid w:val="43AC0714"/>
    <w:rsid w:val="43E26D2A"/>
    <w:rsid w:val="44EE7080"/>
    <w:rsid w:val="44F745CF"/>
    <w:rsid w:val="455517CB"/>
    <w:rsid w:val="457825E4"/>
    <w:rsid w:val="4693423A"/>
    <w:rsid w:val="4701694A"/>
    <w:rsid w:val="471A7B91"/>
    <w:rsid w:val="47275B26"/>
    <w:rsid w:val="47A47339"/>
    <w:rsid w:val="47B36DD3"/>
    <w:rsid w:val="47D5208C"/>
    <w:rsid w:val="48C63DF7"/>
    <w:rsid w:val="48C77CED"/>
    <w:rsid w:val="49823E03"/>
    <w:rsid w:val="4B3833FC"/>
    <w:rsid w:val="4B766B51"/>
    <w:rsid w:val="4C1134F9"/>
    <w:rsid w:val="4D6250F1"/>
    <w:rsid w:val="4EBC6B68"/>
    <w:rsid w:val="4F71072F"/>
    <w:rsid w:val="4FAD5B31"/>
    <w:rsid w:val="4FF614FC"/>
    <w:rsid w:val="50473316"/>
    <w:rsid w:val="513D08B7"/>
    <w:rsid w:val="514903C3"/>
    <w:rsid w:val="51DC14C4"/>
    <w:rsid w:val="51ED116C"/>
    <w:rsid w:val="523A7C7F"/>
    <w:rsid w:val="52B6455F"/>
    <w:rsid w:val="52DD19BB"/>
    <w:rsid w:val="531942AD"/>
    <w:rsid w:val="545123F3"/>
    <w:rsid w:val="551303A1"/>
    <w:rsid w:val="56362637"/>
    <w:rsid w:val="56EA0AB1"/>
    <w:rsid w:val="574122DC"/>
    <w:rsid w:val="576D087E"/>
    <w:rsid w:val="57835EA0"/>
    <w:rsid w:val="58335A5D"/>
    <w:rsid w:val="596C02F9"/>
    <w:rsid w:val="59BC4ED0"/>
    <w:rsid w:val="5A9D3EE7"/>
    <w:rsid w:val="5AEC74F8"/>
    <w:rsid w:val="5B7079CB"/>
    <w:rsid w:val="5BD762C4"/>
    <w:rsid w:val="5C7143C6"/>
    <w:rsid w:val="5CC8203E"/>
    <w:rsid w:val="5CED4F6D"/>
    <w:rsid w:val="5D1464A5"/>
    <w:rsid w:val="5D5C1E8F"/>
    <w:rsid w:val="5D5E4DB7"/>
    <w:rsid w:val="5DF77DE0"/>
    <w:rsid w:val="5E1955EB"/>
    <w:rsid w:val="5E4A6AD5"/>
    <w:rsid w:val="5F0F7504"/>
    <w:rsid w:val="60A93A22"/>
    <w:rsid w:val="60C3026A"/>
    <w:rsid w:val="629F20B6"/>
    <w:rsid w:val="62A10176"/>
    <w:rsid w:val="639221EC"/>
    <w:rsid w:val="640139DD"/>
    <w:rsid w:val="64B516AE"/>
    <w:rsid w:val="65803F95"/>
    <w:rsid w:val="660C196D"/>
    <w:rsid w:val="66FB3B9A"/>
    <w:rsid w:val="676A48B2"/>
    <w:rsid w:val="67A06F8C"/>
    <w:rsid w:val="67B54588"/>
    <w:rsid w:val="69862E6A"/>
    <w:rsid w:val="69A17C70"/>
    <w:rsid w:val="69CD0BDF"/>
    <w:rsid w:val="69FA2796"/>
    <w:rsid w:val="6B9F6E13"/>
    <w:rsid w:val="6BE50B5D"/>
    <w:rsid w:val="6CEB7969"/>
    <w:rsid w:val="6CEE7C83"/>
    <w:rsid w:val="6DA4006D"/>
    <w:rsid w:val="6DB25003"/>
    <w:rsid w:val="6DDB620D"/>
    <w:rsid w:val="6FA50228"/>
    <w:rsid w:val="6FDB386D"/>
    <w:rsid w:val="711E0693"/>
    <w:rsid w:val="729D729D"/>
    <w:rsid w:val="72D958AB"/>
    <w:rsid w:val="735B2D57"/>
    <w:rsid w:val="74346EAC"/>
    <w:rsid w:val="74516EE2"/>
    <w:rsid w:val="74D63C4F"/>
    <w:rsid w:val="76616E61"/>
    <w:rsid w:val="77A33DD6"/>
    <w:rsid w:val="788C4C80"/>
    <w:rsid w:val="78A13E89"/>
    <w:rsid w:val="791259C0"/>
    <w:rsid w:val="79F65D09"/>
    <w:rsid w:val="7AC91CFF"/>
    <w:rsid w:val="7B3A3F28"/>
    <w:rsid w:val="7BFF6BFE"/>
    <w:rsid w:val="7C03215E"/>
    <w:rsid w:val="7C0323A6"/>
    <w:rsid w:val="7C290923"/>
    <w:rsid w:val="7E80646A"/>
    <w:rsid w:val="7F4E2B7E"/>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GB" w:eastAsia="zh-CN" w:bidi="ar-SA"/>
    </w:rPr>
  </w:style>
  <w:style w:type="paragraph" w:styleId="2">
    <w:name w:val="heading 1"/>
    <w:basedOn w:val="1"/>
    <w:next w:val="1"/>
    <w:link w:val="25"/>
    <w:qFormat/>
    <w:uiPriority w:val="0"/>
    <w:pPr>
      <w:keepNext/>
      <w:keepLines/>
      <w:numPr>
        <w:ilvl w:val="0"/>
        <w:numId w:val="1"/>
      </w:numPr>
      <w:pBdr>
        <w:top w:val="single" w:color="auto" w:sz="12" w:space="3"/>
      </w:pBdr>
      <w:spacing w:before="240" w:after="180"/>
      <w:outlineLvl w:val="0"/>
    </w:pPr>
    <w:rPr>
      <w:rFonts w:cs="Arial"/>
      <w:sz w:val="36"/>
      <w:szCs w:val="36"/>
    </w:rPr>
  </w:style>
  <w:style w:type="paragraph" w:styleId="3">
    <w:name w:val="heading 2"/>
    <w:basedOn w:val="2"/>
    <w:next w:val="1"/>
    <w:link w:val="26"/>
    <w:qFormat/>
    <w:uiPriority w:val="0"/>
    <w:pPr>
      <w:numPr>
        <w:ilvl w:val="1"/>
      </w:numPr>
      <w:pBdr>
        <w:top w:val="none" w:color="auto" w:sz="0" w:space="0"/>
      </w:pBdr>
      <w:spacing w:before="180"/>
      <w:outlineLvl w:val="1"/>
    </w:pPr>
    <w:rPr>
      <w:sz w:val="32"/>
      <w:szCs w:val="32"/>
    </w:rPr>
  </w:style>
  <w:style w:type="paragraph" w:styleId="4">
    <w:name w:val="heading 3"/>
    <w:basedOn w:val="3"/>
    <w:next w:val="1"/>
    <w:link w:val="27"/>
    <w:qFormat/>
    <w:uiPriority w:val="0"/>
    <w:pPr>
      <w:numPr>
        <w:ilvl w:val="2"/>
      </w:numPr>
      <w:spacing w:before="120"/>
      <w:outlineLvl w:val="2"/>
    </w:pPr>
    <w:rPr>
      <w:sz w:val="28"/>
      <w:szCs w:val="28"/>
    </w:rPr>
  </w:style>
  <w:style w:type="paragraph" w:styleId="5">
    <w:name w:val="heading 4"/>
    <w:basedOn w:val="4"/>
    <w:next w:val="1"/>
    <w:link w:val="28"/>
    <w:qFormat/>
    <w:uiPriority w:val="0"/>
    <w:pPr>
      <w:numPr>
        <w:ilvl w:val="3"/>
      </w:numPr>
      <w:outlineLvl w:val="3"/>
    </w:pPr>
    <w:rPr>
      <w:sz w:val="24"/>
      <w:szCs w:val="24"/>
    </w:rPr>
  </w:style>
  <w:style w:type="paragraph" w:styleId="6">
    <w:name w:val="heading 5"/>
    <w:basedOn w:val="5"/>
    <w:next w:val="1"/>
    <w:link w:val="29"/>
    <w:qFormat/>
    <w:uiPriority w:val="0"/>
    <w:pPr>
      <w:numPr>
        <w:ilvl w:val="4"/>
      </w:numPr>
      <w:outlineLvl w:val="4"/>
    </w:pPr>
    <w:rPr>
      <w:sz w:val="22"/>
      <w:szCs w:val="22"/>
    </w:rPr>
  </w:style>
  <w:style w:type="paragraph" w:styleId="7">
    <w:name w:val="heading 6"/>
    <w:basedOn w:val="1"/>
    <w:next w:val="1"/>
    <w:link w:val="30"/>
    <w:qFormat/>
    <w:uiPriority w:val="0"/>
    <w:pPr>
      <w:keepNext/>
      <w:keepLines/>
      <w:numPr>
        <w:ilvl w:val="5"/>
        <w:numId w:val="1"/>
      </w:numPr>
      <w:spacing w:before="120"/>
      <w:outlineLvl w:val="5"/>
    </w:pPr>
    <w:rPr>
      <w:rFonts w:cs="Arial"/>
    </w:rPr>
  </w:style>
  <w:style w:type="paragraph" w:styleId="8">
    <w:name w:val="heading 7"/>
    <w:basedOn w:val="1"/>
    <w:next w:val="1"/>
    <w:link w:val="31"/>
    <w:qFormat/>
    <w:uiPriority w:val="0"/>
    <w:pPr>
      <w:keepNext/>
      <w:keepLines/>
      <w:numPr>
        <w:ilvl w:val="6"/>
        <w:numId w:val="1"/>
      </w:numPr>
      <w:spacing w:before="120"/>
      <w:outlineLvl w:val="6"/>
    </w:pPr>
    <w:rPr>
      <w:rFonts w:cs="Arial"/>
    </w:rPr>
  </w:style>
  <w:style w:type="paragraph" w:styleId="9">
    <w:name w:val="heading 8"/>
    <w:basedOn w:val="8"/>
    <w:next w:val="1"/>
    <w:link w:val="32"/>
    <w:qFormat/>
    <w:uiPriority w:val="0"/>
    <w:pPr>
      <w:numPr>
        <w:ilvl w:val="7"/>
      </w:numPr>
      <w:outlineLvl w:val="7"/>
    </w:pPr>
  </w:style>
  <w:style w:type="paragraph" w:styleId="10">
    <w:name w:val="heading 9"/>
    <w:basedOn w:val="9"/>
    <w:next w:val="1"/>
    <w:link w:val="33"/>
    <w:qFormat/>
    <w:uiPriority w:val="0"/>
    <w:pPr>
      <w:numPr>
        <w:ilvl w:val="8"/>
      </w:numPr>
      <w:outlineLvl w:val="8"/>
    </w:p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caption"/>
    <w:next w:val="12"/>
    <w:link w:val="58"/>
    <w:qFormat/>
    <w:uiPriority w:val="0"/>
    <w:pPr>
      <w:spacing w:before="120" w:after="120"/>
      <w:ind w:left="2438" w:hanging="1134"/>
    </w:pPr>
    <w:rPr>
      <w:rFonts w:ascii="Arial" w:hAnsi="Arial" w:eastAsia="Times New Roman" w:cs="Times New Roman"/>
      <w:kern w:val="20"/>
      <w:lang w:val="en-US" w:eastAsia="en-US" w:bidi="ar-SA"/>
    </w:rPr>
  </w:style>
  <w:style w:type="paragraph" w:styleId="12">
    <w:name w:val="Body Text"/>
    <w:basedOn w:val="1"/>
    <w:link w:val="45"/>
    <w:semiHidden/>
    <w:unhideWhenUsed/>
    <w:qFormat/>
    <w:uiPriority w:val="99"/>
  </w:style>
  <w:style w:type="paragraph" w:styleId="13">
    <w:name w:val="annotation text"/>
    <w:basedOn w:val="1"/>
    <w:link w:val="36"/>
    <w:qFormat/>
    <w:uiPriority w:val="0"/>
  </w:style>
  <w:style w:type="paragraph" w:styleId="14">
    <w:name w:val="Balloon Text"/>
    <w:basedOn w:val="1"/>
    <w:link w:val="46"/>
    <w:semiHidden/>
    <w:unhideWhenUsed/>
    <w:qFormat/>
    <w:uiPriority w:val="99"/>
    <w:pPr>
      <w:spacing w:after="0"/>
    </w:pPr>
    <w:rPr>
      <w:rFonts w:ascii="Segoe UI" w:hAnsi="Segoe UI" w:cs="Segoe UI"/>
      <w:sz w:val="18"/>
      <w:szCs w:val="18"/>
    </w:rPr>
  </w:style>
  <w:style w:type="paragraph" w:styleId="15">
    <w:name w:val="footer"/>
    <w:basedOn w:val="16"/>
    <w:link w:val="35"/>
    <w:qFormat/>
    <w:uiPriority w:val="99"/>
    <w:pPr>
      <w:widowControl w:val="0"/>
      <w:tabs>
        <w:tab w:val="center" w:pos="4513"/>
        <w:tab w:val="right" w:pos="9026"/>
      </w:tabs>
      <w:jc w:val="center"/>
    </w:pPr>
    <w:rPr>
      <w:rFonts w:cs="Arial"/>
      <w:b/>
      <w:bCs/>
      <w:i/>
      <w:iCs/>
      <w:sz w:val="18"/>
      <w:szCs w:val="18"/>
      <w:lang w:val="en-US"/>
    </w:rPr>
  </w:style>
  <w:style w:type="paragraph" w:styleId="16">
    <w:name w:val="header"/>
    <w:basedOn w:val="1"/>
    <w:link w:val="44"/>
    <w:unhideWhenUsed/>
    <w:qFormat/>
    <w:uiPriority w:val="99"/>
    <w:pPr>
      <w:tabs>
        <w:tab w:val="center" w:pos="4513"/>
        <w:tab w:val="right" w:pos="9026"/>
      </w:tabs>
      <w:spacing w:after="0"/>
    </w:pPr>
  </w:style>
  <w:style w:type="paragraph" w:styleId="17">
    <w:name w:val="List"/>
    <w:basedOn w:val="1"/>
    <w:semiHidden/>
    <w:unhideWhenUsed/>
    <w:qFormat/>
    <w:uiPriority w:val="99"/>
    <w:pPr>
      <w:ind w:left="283" w:hanging="283"/>
      <w:contextualSpacing/>
    </w:pPr>
  </w:style>
  <w:style w:type="paragraph" w:styleId="18">
    <w:name w:val="annotation subject"/>
    <w:basedOn w:val="13"/>
    <w:next w:val="13"/>
    <w:link w:val="47"/>
    <w:semiHidden/>
    <w:unhideWhenUsed/>
    <w:qFormat/>
    <w:uiPriority w:val="99"/>
    <w:rPr>
      <w:b/>
      <w:bCs/>
    </w:rPr>
  </w:style>
  <w:style w:type="table" w:styleId="20">
    <w:name w:val="Table Grid"/>
    <w:basedOn w:val="19"/>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page number"/>
    <w:semiHidden/>
    <w:qFormat/>
    <w:uiPriority w:val="0"/>
  </w:style>
  <w:style w:type="character" w:styleId="23">
    <w:name w:val="Hyperlink"/>
    <w:qFormat/>
    <w:uiPriority w:val="99"/>
    <w:rPr>
      <w:color w:val="0000FF"/>
      <w:u w:val="single"/>
      <w:lang w:val="en-GB"/>
    </w:rPr>
  </w:style>
  <w:style w:type="character" w:styleId="24">
    <w:name w:val="annotation reference"/>
    <w:qFormat/>
    <w:uiPriority w:val="0"/>
    <w:rPr>
      <w:sz w:val="16"/>
      <w:szCs w:val="16"/>
    </w:rPr>
  </w:style>
  <w:style w:type="character" w:customStyle="1" w:styleId="25">
    <w:name w:val="标题 1 字符"/>
    <w:basedOn w:val="21"/>
    <w:link w:val="2"/>
    <w:qFormat/>
    <w:uiPriority w:val="0"/>
    <w:rPr>
      <w:rFonts w:ascii="Arial" w:hAnsi="Arial" w:eastAsia="Times New Roman" w:cs="Arial"/>
      <w:sz w:val="36"/>
      <w:szCs w:val="36"/>
      <w:lang w:val="en-GB" w:eastAsia="zh-CN"/>
    </w:rPr>
  </w:style>
  <w:style w:type="character" w:customStyle="1" w:styleId="26">
    <w:name w:val="标题 2 字符"/>
    <w:basedOn w:val="21"/>
    <w:link w:val="3"/>
    <w:qFormat/>
    <w:uiPriority w:val="0"/>
    <w:rPr>
      <w:rFonts w:ascii="Arial" w:hAnsi="Arial" w:eastAsia="Times New Roman" w:cs="Arial"/>
      <w:sz w:val="32"/>
      <w:szCs w:val="32"/>
      <w:lang w:val="en-GB" w:eastAsia="zh-CN"/>
    </w:rPr>
  </w:style>
  <w:style w:type="character" w:customStyle="1" w:styleId="27">
    <w:name w:val="标题 3 字符"/>
    <w:basedOn w:val="21"/>
    <w:link w:val="4"/>
    <w:qFormat/>
    <w:uiPriority w:val="0"/>
    <w:rPr>
      <w:rFonts w:ascii="Arial" w:hAnsi="Arial" w:eastAsia="Times New Roman" w:cs="Arial"/>
      <w:sz w:val="28"/>
      <w:szCs w:val="28"/>
      <w:lang w:val="en-GB" w:eastAsia="zh-CN"/>
    </w:rPr>
  </w:style>
  <w:style w:type="character" w:customStyle="1" w:styleId="28">
    <w:name w:val="标题 4 字符"/>
    <w:basedOn w:val="21"/>
    <w:link w:val="5"/>
    <w:qFormat/>
    <w:uiPriority w:val="0"/>
    <w:rPr>
      <w:rFonts w:ascii="Arial" w:hAnsi="Arial" w:eastAsia="Times New Roman" w:cs="Arial"/>
      <w:sz w:val="24"/>
      <w:szCs w:val="24"/>
      <w:lang w:val="en-GB" w:eastAsia="zh-CN"/>
    </w:rPr>
  </w:style>
  <w:style w:type="character" w:customStyle="1" w:styleId="29">
    <w:name w:val="标题 5 字符"/>
    <w:basedOn w:val="21"/>
    <w:link w:val="6"/>
    <w:qFormat/>
    <w:uiPriority w:val="0"/>
    <w:rPr>
      <w:rFonts w:ascii="Arial" w:hAnsi="Arial" w:eastAsia="Times New Roman" w:cs="Arial"/>
      <w:lang w:val="en-GB" w:eastAsia="zh-CN"/>
    </w:rPr>
  </w:style>
  <w:style w:type="character" w:customStyle="1" w:styleId="30">
    <w:name w:val="标题 6 字符"/>
    <w:basedOn w:val="21"/>
    <w:link w:val="7"/>
    <w:qFormat/>
    <w:uiPriority w:val="0"/>
    <w:rPr>
      <w:rFonts w:ascii="Arial" w:hAnsi="Arial" w:eastAsia="Times New Roman" w:cs="Arial"/>
      <w:sz w:val="20"/>
      <w:szCs w:val="20"/>
      <w:lang w:val="en-GB" w:eastAsia="zh-CN"/>
    </w:rPr>
  </w:style>
  <w:style w:type="character" w:customStyle="1" w:styleId="31">
    <w:name w:val="标题 7 字符"/>
    <w:basedOn w:val="21"/>
    <w:link w:val="8"/>
    <w:qFormat/>
    <w:uiPriority w:val="0"/>
    <w:rPr>
      <w:rFonts w:ascii="Arial" w:hAnsi="Arial" w:eastAsia="Times New Roman" w:cs="Arial"/>
      <w:sz w:val="20"/>
      <w:szCs w:val="20"/>
      <w:lang w:val="en-GB" w:eastAsia="zh-CN"/>
    </w:rPr>
  </w:style>
  <w:style w:type="character" w:customStyle="1" w:styleId="32">
    <w:name w:val="标题 8 字符"/>
    <w:basedOn w:val="21"/>
    <w:link w:val="9"/>
    <w:qFormat/>
    <w:uiPriority w:val="0"/>
    <w:rPr>
      <w:rFonts w:ascii="Arial" w:hAnsi="Arial" w:eastAsia="Times New Roman" w:cs="Arial"/>
      <w:sz w:val="20"/>
      <w:szCs w:val="20"/>
      <w:lang w:val="en-GB" w:eastAsia="zh-CN"/>
    </w:rPr>
  </w:style>
  <w:style w:type="character" w:customStyle="1" w:styleId="33">
    <w:name w:val="标题 9 字符"/>
    <w:basedOn w:val="21"/>
    <w:link w:val="10"/>
    <w:qFormat/>
    <w:uiPriority w:val="0"/>
    <w:rPr>
      <w:rFonts w:ascii="Arial" w:hAnsi="Arial" w:eastAsia="Times New Roman" w:cs="Arial"/>
      <w:sz w:val="20"/>
      <w:szCs w:val="20"/>
      <w:lang w:val="en-GB" w:eastAsia="zh-CN"/>
    </w:rPr>
  </w:style>
  <w:style w:type="paragraph" w:customStyle="1" w:styleId="34">
    <w:name w:val="3GPP_Header"/>
    <w:basedOn w:val="1"/>
    <w:qFormat/>
    <w:uiPriority w:val="0"/>
    <w:pPr>
      <w:tabs>
        <w:tab w:val="left" w:pos="1701"/>
        <w:tab w:val="right" w:pos="9639"/>
      </w:tabs>
      <w:spacing w:after="240"/>
    </w:pPr>
    <w:rPr>
      <w:b/>
      <w:sz w:val="24"/>
    </w:rPr>
  </w:style>
  <w:style w:type="character" w:customStyle="1" w:styleId="35">
    <w:name w:val="页脚 字符"/>
    <w:basedOn w:val="21"/>
    <w:link w:val="15"/>
    <w:qFormat/>
    <w:uiPriority w:val="99"/>
    <w:rPr>
      <w:rFonts w:ascii="Arial" w:hAnsi="Arial" w:eastAsia="Times New Roman" w:cs="Arial"/>
      <w:b/>
      <w:bCs/>
      <w:i/>
      <w:iCs/>
      <w:sz w:val="18"/>
      <w:szCs w:val="18"/>
      <w:lang w:val="en-US" w:eastAsia="zh-CN"/>
    </w:rPr>
  </w:style>
  <w:style w:type="character" w:customStyle="1" w:styleId="36">
    <w:name w:val="批注文字 字符"/>
    <w:basedOn w:val="21"/>
    <w:link w:val="13"/>
    <w:qFormat/>
    <w:uiPriority w:val="0"/>
    <w:rPr>
      <w:rFonts w:ascii="Arial" w:hAnsi="Arial" w:eastAsia="Times New Roman" w:cs="Times New Roman"/>
      <w:sz w:val="20"/>
      <w:szCs w:val="20"/>
      <w:lang w:val="en-GB" w:eastAsia="zh-CN"/>
    </w:rPr>
  </w:style>
  <w:style w:type="paragraph" w:customStyle="1" w:styleId="37">
    <w:name w:val="B1"/>
    <w:basedOn w:val="17"/>
    <w:link w:val="39"/>
    <w:qFormat/>
    <w:uiPriority w:val="0"/>
    <w:pPr>
      <w:spacing w:after="180"/>
      <w:ind w:left="568" w:hanging="284"/>
      <w:contextualSpacing w:val="0"/>
      <w:jc w:val="left"/>
    </w:pPr>
    <w:rPr>
      <w:lang w:eastAsia="en-US"/>
    </w:rPr>
  </w:style>
  <w:style w:type="paragraph" w:styleId="38">
    <w:name w:val="List Paragraph"/>
    <w:basedOn w:val="1"/>
    <w:link w:val="49"/>
    <w:qFormat/>
    <w:uiPriority w:val="34"/>
    <w:pPr>
      <w:ind w:left="720"/>
      <w:contextualSpacing/>
    </w:pPr>
  </w:style>
  <w:style w:type="character" w:customStyle="1" w:styleId="39">
    <w:name w:val="B1 Char1"/>
    <w:link w:val="37"/>
    <w:qFormat/>
    <w:uiPriority w:val="0"/>
    <w:rPr>
      <w:rFonts w:ascii="Arial" w:hAnsi="Arial" w:eastAsia="Times New Roman" w:cs="Times New Roman"/>
      <w:sz w:val="20"/>
      <w:szCs w:val="20"/>
      <w:lang w:val="en-GB"/>
    </w:rPr>
  </w:style>
  <w:style w:type="paragraph" w:customStyle="1" w:styleId="40">
    <w:name w:val="IvD Instructiontext"/>
    <w:basedOn w:val="12"/>
    <w:link w:val="41"/>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41">
    <w:name w:val="IvD Instructiontext Char"/>
    <w:link w:val="40"/>
    <w:qFormat/>
    <w:uiPriority w:val="99"/>
    <w:rPr>
      <w:rFonts w:ascii="Arial" w:hAnsi="Arial" w:eastAsia="Times New Roman" w:cs="Times New Roman"/>
      <w:i/>
      <w:color w:val="7F7F7F"/>
      <w:spacing w:val="2"/>
      <w:sz w:val="18"/>
      <w:szCs w:val="18"/>
      <w:lang w:val="en-US"/>
    </w:rPr>
  </w:style>
  <w:style w:type="paragraph" w:customStyle="1" w:styleId="42">
    <w:name w:val="IvD bodytext"/>
    <w:basedOn w:val="12"/>
    <w:link w:val="43"/>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43">
    <w:name w:val="IvD bodytext Char"/>
    <w:link w:val="42"/>
    <w:qFormat/>
    <w:uiPriority w:val="0"/>
    <w:rPr>
      <w:rFonts w:ascii="Arial" w:hAnsi="Arial" w:eastAsia="Times New Roman" w:cs="Times New Roman"/>
      <w:spacing w:val="2"/>
      <w:sz w:val="20"/>
      <w:szCs w:val="20"/>
      <w:lang w:val="en-US"/>
    </w:rPr>
  </w:style>
  <w:style w:type="character" w:customStyle="1" w:styleId="44">
    <w:name w:val="页眉 字符"/>
    <w:basedOn w:val="21"/>
    <w:link w:val="16"/>
    <w:qFormat/>
    <w:uiPriority w:val="99"/>
    <w:rPr>
      <w:rFonts w:ascii="Arial" w:hAnsi="Arial" w:eastAsia="Times New Roman" w:cs="Times New Roman"/>
      <w:sz w:val="20"/>
      <w:szCs w:val="20"/>
      <w:lang w:val="en-GB" w:eastAsia="zh-CN"/>
    </w:rPr>
  </w:style>
  <w:style w:type="character" w:customStyle="1" w:styleId="45">
    <w:name w:val="正文文本 字符"/>
    <w:basedOn w:val="21"/>
    <w:link w:val="12"/>
    <w:semiHidden/>
    <w:qFormat/>
    <w:uiPriority w:val="99"/>
    <w:rPr>
      <w:rFonts w:ascii="Arial" w:hAnsi="Arial" w:eastAsia="Times New Roman" w:cs="Times New Roman"/>
      <w:sz w:val="20"/>
      <w:szCs w:val="20"/>
      <w:lang w:val="en-GB" w:eastAsia="zh-CN"/>
    </w:rPr>
  </w:style>
  <w:style w:type="character" w:customStyle="1" w:styleId="46">
    <w:name w:val="批注框文本 字符"/>
    <w:basedOn w:val="21"/>
    <w:link w:val="14"/>
    <w:semiHidden/>
    <w:qFormat/>
    <w:uiPriority w:val="99"/>
    <w:rPr>
      <w:rFonts w:ascii="Segoe UI" w:hAnsi="Segoe UI" w:eastAsia="Times New Roman" w:cs="Segoe UI"/>
      <w:sz w:val="18"/>
      <w:szCs w:val="18"/>
      <w:lang w:val="en-GB" w:eastAsia="zh-CN"/>
    </w:rPr>
  </w:style>
  <w:style w:type="character" w:customStyle="1" w:styleId="47">
    <w:name w:val="批注主题 字符"/>
    <w:basedOn w:val="36"/>
    <w:link w:val="18"/>
    <w:semiHidden/>
    <w:qFormat/>
    <w:uiPriority w:val="99"/>
    <w:rPr>
      <w:rFonts w:ascii="Arial" w:hAnsi="Arial" w:eastAsia="Times New Roman" w:cs="Times New Roman"/>
      <w:b/>
      <w:bCs/>
      <w:sz w:val="20"/>
      <w:szCs w:val="20"/>
      <w:lang w:val="en-GB" w:eastAsia="zh-CN"/>
    </w:rPr>
  </w:style>
  <w:style w:type="character" w:customStyle="1" w:styleId="48">
    <w:name w:val="B1 Char"/>
    <w:qFormat/>
    <w:locked/>
    <w:uiPriority w:val="0"/>
    <w:rPr>
      <w:lang w:val="en-GB" w:eastAsia="zh-CN"/>
    </w:rPr>
  </w:style>
  <w:style w:type="character" w:customStyle="1" w:styleId="49">
    <w:name w:val="列表段落 字符"/>
    <w:link w:val="38"/>
    <w:qFormat/>
    <w:locked/>
    <w:uiPriority w:val="34"/>
    <w:rPr>
      <w:rFonts w:ascii="Arial" w:hAnsi="Arial" w:eastAsia="Times New Roman" w:cs="Times New Roman"/>
      <w:sz w:val="20"/>
      <w:szCs w:val="20"/>
      <w:lang w:val="en-GB" w:eastAsia="zh-CN"/>
    </w:rPr>
  </w:style>
  <w:style w:type="paragraph" w:customStyle="1" w:styleId="50">
    <w:name w:val="CR Cover Page"/>
    <w:link w:val="51"/>
    <w:qFormat/>
    <w:uiPriority w:val="0"/>
    <w:pPr>
      <w:spacing w:after="120"/>
    </w:pPr>
    <w:rPr>
      <w:rFonts w:ascii="Arial" w:hAnsi="Arial" w:cs="Times New Roman" w:eastAsiaTheme="minorEastAsia"/>
      <w:lang w:val="en-GB" w:eastAsia="en-US" w:bidi="ar-SA"/>
    </w:rPr>
  </w:style>
  <w:style w:type="character" w:customStyle="1" w:styleId="51">
    <w:name w:val="CR Cover Page Zchn"/>
    <w:link w:val="50"/>
    <w:qFormat/>
    <w:locked/>
    <w:uiPriority w:val="0"/>
    <w:rPr>
      <w:rFonts w:ascii="Arial" w:hAnsi="Arial" w:cs="Times New Roman" w:eastAsiaTheme="minorEastAsia"/>
      <w:sz w:val="20"/>
      <w:szCs w:val="20"/>
      <w:lang w:val="en-GB"/>
    </w:rPr>
  </w:style>
  <w:style w:type="character" w:customStyle="1" w:styleId="52">
    <w:name w:val="PL Char"/>
    <w:link w:val="53"/>
    <w:qFormat/>
    <w:uiPriority w:val="0"/>
    <w:rPr>
      <w:rFonts w:ascii="Courier New" w:hAnsi="Courier New"/>
      <w:sz w:val="16"/>
      <w:lang w:val="en-GB"/>
    </w:rPr>
  </w:style>
  <w:style w:type="paragraph" w:customStyle="1" w:styleId="53">
    <w:name w:val="PL"/>
    <w:link w:val="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heme="minorBidi"/>
      <w:sz w:val="16"/>
      <w:szCs w:val="22"/>
      <w:lang w:val="en-GB" w:eastAsia="en-US" w:bidi="ar-SA"/>
    </w:rPr>
  </w:style>
  <w:style w:type="paragraph" w:customStyle="1" w:styleId="54">
    <w:name w:val="TAL"/>
    <w:basedOn w:val="1"/>
    <w:link w:val="55"/>
    <w:qFormat/>
    <w:uiPriority w:val="0"/>
    <w:pPr>
      <w:keepNext/>
      <w:keepLines/>
      <w:spacing w:after="0"/>
      <w:jc w:val="left"/>
    </w:pPr>
    <w:rPr>
      <w:sz w:val="18"/>
      <w:lang w:val="zh-CN"/>
    </w:rPr>
  </w:style>
  <w:style w:type="character" w:customStyle="1" w:styleId="55">
    <w:name w:val="TAL Car"/>
    <w:link w:val="54"/>
    <w:qFormat/>
    <w:uiPriority w:val="0"/>
    <w:rPr>
      <w:rFonts w:ascii="Arial" w:hAnsi="Arial" w:eastAsia="Times New Roman" w:cs="Times New Roman"/>
      <w:sz w:val="18"/>
      <w:szCs w:val="20"/>
      <w:lang w:val="zh-CN" w:eastAsia="zh-CN"/>
    </w:rPr>
  </w:style>
  <w:style w:type="paragraph" w:customStyle="1" w:styleId="56">
    <w:name w:val="TAH"/>
    <w:basedOn w:val="1"/>
    <w:link w:val="57"/>
    <w:qFormat/>
    <w:uiPriority w:val="0"/>
    <w:pPr>
      <w:keepNext/>
      <w:keepLines/>
      <w:overflowPunct/>
      <w:autoSpaceDE/>
      <w:autoSpaceDN/>
      <w:adjustRightInd/>
      <w:spacing w:after="0" w:line="259" w:lineRule="auto"/>
      <w:jc w:val="center"/>
      <w:textAlignment w:val="auto"/>
    </w:pPr>
    <w:rPr>
      <w:rFonts w:asciiTheme="minorHAnsi" w:hAnsiTheme="minorHAnsi" w:eastAsiaTheme="minorHAnsi" w:cstheme="minorBidi"/>
      <w:b/>
      <w:sz w:val="18"/>
      <w:szCs w:val="22"/>
      <w:lang w:val="en-US" w:eastAsia="en-US"/>
    </w:rPr>
  </w:style>
  <w:style w:type="character" w:customStyle="1" w:styleId="57">
    <w:name w:val="TAH Car"/>
    <w:link w:val="56"/>
    <w:qFormat/>
    <w:locked/>
    <w:uiPriority w:val="0"/>
    <w:rPr>
      <w:b/>
      <w:sz w:val="18"/>
      <w:lang w:val="en-US"/>
    </w:rPr>
  </w:style>
  <w:style w:type="character" w:customStyle="1" w:styleId="58">
    <w:name w:val="题注 字符"/>
    <w:basedOn w:val="21"/>
    <w:link w:val="11"/>
    <w:qFormat/>
    <w:uiPriority w:val="0"/>
    <w:rPr>
      <w:rFonts w:ascii="Arial" w:hAnsi="Arial" w:eastAsia="Times New Roman" w:cs="Times New Roman"/>
      <w:kern w:val="20"/>
      <w:sz w:val="20"/>
      <w:szCs w:val="20"/>
      <w:lang w:val="en-US"/>
    </w:rPr>
  </w:style>
  <w:style w:type="character" w:customStyle="1" w:styleId="59">
    <w:name w:val="TAL Char"/>
    <w:qFormat/>
    <w:uiPriority w:val="0"/>
    <w:rPr>
      <w:rFonts w:ascii="Arial" w:hAnsi="Arial"/>
      <w:sz w:val="18"/>
      <w:lang w:val="en-GB" w:eastAsia="en-US"/>
    </w:rPr>
  </w:style>
  <w:style w:type="character" w:customStyle="1" w:styleId="60">
    <w:name w:val="TAH Char"/>
    <w:qFormat/>
    <w:uiPriority w:val="0"/>
    <w:rPr>
      <w:rFonts w:ascii="Arial" w:hAnsi="Arial"/>
      <w:b/>
      <w:sz w:val="18"/>
      <w:lang w:val="en-GB" w:eastAsia="en-US"/>
    </w:rPr>
  </w:style>
  <w:style w:type="character" w:customStyle="1" w:styleId="61">
    <w:name w:val="WW8Num1z1"/>
    <w:qFormat/>
    <w:uiPriority w:val="0"/>
    <w:rPr>
      <w:rFonts w:hint="default" w:ascii="Courier New" w:hAnsi="Courier New" w:cs="Courier New"/>
    </w:rPr>
  </w:style>
  <w:style w:type="paragraph" w:customStyle="1" w:styleId="62">
    <w:name w:val="修订1"/>
    <w:hidden/>
    <w:semiHidden/>
    <w:qFormat/>
    <w:uiPriority w:val="99"/>
    <w:rPr>
      <w:rFonts w:ascii="Arial" w:hAnsi="Arial" w:eastAsia="Times New Roman" w:cs="Times New Roman"/>
      <w:lang w:val="en-GB" w:eastAsia="zh-CN" w:bidi="ar-SA"/>
    </w:rPr>
  </w:style>
  <w:style w:type="paragraph" w:customStyle="1" w:styleId="63">
    <w:name w:val="Reference"/>
    <w:basedOn w:val="12"/>
    <w:qFormat/>
    <w:uiPriority w:val="0"/>
    <w:pPr>
      <w:numPr>
        <w:ilvl w:val="0"/>
        <w:numId w:val="2"/>
      </w:numPr>
      <w:overflowPunct/>
      <w:autoSpaceDE/>
      <w:autoSpaceDN/>
      <w:adjustRightInd/>
      <w:spacing w:after="160" w:line="259" w:lineRule="auto"/>
      <w:jc w:val="left"/>
      <w:textAlignment w:val="auto"/>
    </w:pPr>
    <w:rPr>
      <w:rFonts w:eastAsiaTheme="minorHAnsi" w:cstheme="minorBidi"/>
      <w:sz w:val="22"/>
      <w:szCs w:val="22"/>
      <w:lang w:val="sv-SE"/>
    </w:rPr>
  </w:style>
  <w:style w:type="paragraph" w:customStyle="1" w:styleId="64">
    <w:name w:val="TAC"/>
    <w:basedOn w:val="54"/>
    <w:link w:val="65"/>
    <w:qFormat/>
    <w:uiPriority w:val="0"/>
    <w:pPr>
      <w:jc w:val="center"/>
    </w:pPr>
    <w:rPr>
      <w:lang w:val="en-GB" w:eastAsia="en-GB"/>
    </w:rPr>
  </w:style>
  <w:style w:type="character" w:customStyle="1" w:styleId="65">
    <w:name w:val="TAC Char"/>
    <w:basedOn w:val="59"/>
    <w:link w:val="64"/>
    <w:qFormat/>
    <w:locked/>
    <w:uiPriority w:val="0"/>
    <w:rPr>
      <w:rFonts w:ascii="Arial" w:hAnsi="Arial" w:eastAsia="Times New Roman" w:cs="Times New Roman"/>
      <w:sz w:val="18"/>
      <w:szCs w:val="20"/>
      <w:lang w:val="en-GB" w:eastAsia="en-GB"/>
    </w:rPr>
  </w:style>
  <w:style w:type="paragraph" w:customStyle="1" w:styleId="66">
    <w:name w:val="TF"/>
    <w:basedOn w:val="1"/>
    <w:link w:val="67"/>
    <w:qFormat/>
    <w:uiPriority w:val="0"/>
    <w:pPr>
      <w:keepLines/>
      <w:overflowPunct/>
      <w:autoSpaceDE/>
      <w:autoSpaceDN/>
      <w:adjustRightInd/>
      <w:spacing w:after="240"/>
      <w:jc w:val="center"/>
      <w:textAlignment w:val="auto"/>
    </w:pPr>
    <w:rPr>
      <w:rFonts w:eastAsia="宋体"/>
      <w:b/>
      <w:lang w:eastAsia="en-US"/>
    </w:rPr>
  </w:style>
  <w:style w:type="character" w:customStyle="1" w:styleId="67">
    <w:name w:val="TF Char"/>
    <w:link w:val="66"/>
    <w:qFormat/>
    <w:uiPriority w:val="0"/>
    <w:rPr>
      <w:rFonts w:ascii="Arial" w:hAnsi="Arial" w:eastAsia="宋体" w:cs="Times New Roman"/>
      <w:b/>
      <w:sz w:val="20"/>
      <w:szCs w:val="20"/>
      <w:lang w:val="en-GB"/>
    </w:rPr>
  </w:style>
  <w:style w:type="paragraph" w:customStyle="1" w:styleId="68">
    <w:name w:val="Proposal"/>
    <w:basedOn w:val="12"/>
    <w:qFormat/>
    <w:uiPriority w:val="0"/>
    <w:pPr>
      <w:numPr>
        <w:ilvl w:val="0"/>
        <w:numId w:val="3"/>
      </w:numPr>
      <w:tabs>
        <w:tab w:val="left" w:pos="1701"/>
      </w:tabs>
    </w:pPr>
    <w:rPr>
      <w:b/>
      <w:bCs/>
    </w:rPr>
  </w:style>
  <w:style w:type="paragraph" w:customStyle="1" w:styleId="69">
    <w:name w:val="Observation"/>
    <w:basedOn w:val="68"/>
    <w:qFormat/>
    <w:uiPriority w:val="0"/>
    <w:pPr>
      <w:numPr>
        <w:ilvl w:val="0"/>
        <w:numId w:val="4"/>
      </w:numPr>
    </w:pPr>
    <w:rPr>
      <w:lang w:eastAsia="ja-JP"/>
    </w:rPr>
  </w:style>
  <w:style w:type="paragraph" w:customStyle="1" w:styleId="70">
    <w:name w:val="Norml"/>
    <w:basedOn w:val="68"/>
    <w:qFormat/>
    <w:uiPriority w:val="0"/>
  </w:style>
  <w:style w:type="character" w:customStyle="1" w:styleId="71">
    <w:name w:val="未处理的提及1"/>
    <w:basedOn w:val="21"/>
    <w:unhideWhenUsed/>
    <w:qFormat/>
    <w:uiPriority w:val="99"/>
    <w:rPr>
      <w:color w:val="605E5C"/>
      <w:shd w:val="clear" w:color="auto" w:fill="E1DFDD"/>
    </w:rPr>
  </w:style>
  <w:style w:type="character" w:customStyle="1" w:styleId="72">
    <w:name w:val="@他1"/>
    <w:basedOn w:val="21"/>
    <w:unhideWhenUsed/>
    <w:qFormat/>
    <w:uiPriority w:val="99"/>
    <w:rPr>
      <w:color w:val="2B579A"/>
      <w:shd w:val="clear" w:color="auto" w:fill="E1DFDD"/>
    </w:rPr>
  </w:style>
  <w:style w:type="paragraph" w:customStyle="1" w:styleId="73">
    <w:name w:val="00 BodyText"/>
    <w:basedOn w:val="1"/>
    <w:qFormat/>
    <w:uiPriority w:val="0"/>
    <w:pPr>
      <w:overflowPunct/>
      <w:autoSpaceDE/>
      <w:autoSpaceDN/>
      <w:adjustRightInd/>
      <w:spacing w:after="220" w:line="276" w:lineRule="auto"/>
      <w:jc w:val="left"/>
      <w:textAlignment w:val="auto"/>
    </w:pPr>
    <w:rPr>
      <w:rFonts w:eastAsia="Calibri" w:cs="Calibri"/>
      <w:sz w:val="22"/>
      <w:szCs w:val="22"/>
      <w:lang w:val="en-US"/>
    </w:rPr>
  </w:style>
  <w:style w:type="character" w:customStyle="1" w:styleId="74">
    <w:name w:val="首标题"/>
    <w:qFormat/>
    <w:uiPriority w:val="0"/>
    <w:rPr>
      <w:rFonts w:ascii="Arial" w:hAnsi="Arial" w:eastAsia="宋体"/>
      <w:sz w:val="24"/>
      <w:lang w:val="en-US" w:eastAsia="zh-CN" w:bidi="ar-SA"/>
    </w:rPr>
  </w:style>
  <w:style w:type="paragraph" w:customStyle="1" w:styleId="75">
    <w:name w:val="修订2"/>
    <w:hidden/>
    <w:semiHidden/>
    <w:qFormat/>
    <w:uiPriority w:val="99"/>
    <w:rPr>
      <w:rFonts w:ascii="Arial" w:hAnsi="Arial" w:eastAsia="Times New Roman" w:cs="Times New Roman"/>
      <w:lang w:val="en-GB" w:eastAsia="zh-CN" w:bidi="ar-SA"/>
    </w:rPr>
  </w:style>
  <w:style w:type="paragraph" w:customStyle="1" w:styleId="76">
    <w:name w:val="修订3"/>
    <w:hidden/>
    <w:semiHidden/>
    <w:qFormat/>
    <w:uiPriority w:val="99"/>
    <w:rPr>
      <w:rFonts w:ascii="Arial" w:hAnsi="Arial" w:eastAsia="Times New Roman" w:cs="Times New Roman"/>
      <w:lang w:val="en-GB" w:eastAsia="zh-CN" w:bidi="ar-SA"/>
    </w:rPr>
  </w:style>
  <w:style w:type="paragraph" w:customStyle="1" w:styleId="77">
    <w:name w:val="Revision"/>
    <w:hidden/>
    <w:semiHidden/>
    <w:qFormat/>
    <w:uiPriority w:val="99"/>
    <w:rPr>
      <w:rFonts w:ascii="Arial" w:hAnsi="Arial" w:eastAsia="Times New Roman" w:cs="Times New Roman"/>
      <w:lang w:val="en-GB"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5NUHHDQN7SK2-1476151046-499939</_dlc_DocId>
    <_dlc_DocIdUrl xmlns="f166a696-7b5b-4ccd-9f0c-ffde0cceec81">
      <Url>https://ericsson.sharepoint.com/sites/star/_layouts/15/DocIdRedir.aspx?ID=5NUHHDQN7SK2-1476151046-499939</Url>
      <Description>5NUHHDQN7SK2-1476151046-499939</Description>
    </_dlc_DocIdUrl>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57D943-A877-475D-BA92-1F9DEC590F82}">
  <ds:schemaRefs/>
</ds:datastoreItem>
</file>

<file path=customXml/itemProps2.xml><?xml version="1.0" encoding="utf-8"?>
<ds:datastoreItem xmlns:ds="http://schemas.openxmlformats.org/officeDocument/2006/customXml" ds:itemID="{4C4EBDAD-F25C-4923-B5F8-0F15B0BFAADC}">
  <ds:schemaRefs/>
</ds:datastoreItem>
</file>

<file path=customXml/itemProps3.xml><?xml version="1.0" encoding="utf-8"?>
<ds:datastoreItem xmlns:ds="http://schemas.openxmlformats.org/officeDocument/2006/customXml" ds:itemID="{FB6DDB7C-9959-4AEC-AA49-498A6EC77218}">
  <ds:schemaRefs/>
</ds:datastoreItem>
</file>

<file path=customXml/itemProps4.xml><?xml version="1.0" encoding="utf-8"?>
<ds:datastoreItem xmlns:ds="http://schemas.openxmlformats.org/officeDocument/2006/customXml" ds:itemID="{AFD3527F-078C-46FF-917C-D402B9DBDD85}">
  <ds:schemaRefs/>
</ds:datastoreItem>
</file>

<file path=customXml/itemProps5.xml><?xml version="1.0" encoding="utf-8"?>
<ds:datastoreItem xmlns:ds="http://schemas.openxmlformats.org/officeDocument/2006/customXml" ds:itemID="{AB067330-89E3-4362-9022-7EE22BBAB73C}">
  <ds:schemaRefs/>
</ds:datastoreItem>
</file>

<file path=customXml/itemProps6.xml><?xml version="1.0" encoding="utf-8"?>
<ds:datastoreItem xmlns:ds="http://schemas.openxmlformats.org/officeDocument/2006/customXml" ds:itemID="{DE493EDE-3679-4263-A95C-CB3FBE678763}">
  <ds:schemaRefs/>
</ds:datastoreItem>
</file>

<file path=docProps/app.xml><?xml version="1.0" encoding="utf-8"?>
<Properties xmlns="http://schemas.openxmlformats.org/officeDocument/2006/extended-properties" xmlns:vt="http://schemas.openxmlformats.org/officeDocument/2006/docPropsVTypes">
  <Template>Normal</Template>
  <Pages>3</Pages>
  <Words>1060</Words>
  <Characters>6048</Characters>
  <Lines>50</Lines>
  <Paragraphs>14</Paragraphs>
  <TotalTime>0</TotalTime>
  <ScaleCrop>false</ScaleCrop>
  <LinksUpToDate>false</LinksUpToDate>
  <CharactersWithSpaces>7094</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2023-02-17T02:30:00Z</dcterms:created>
  <dc:creator>Ericsson User</dc:creator>
  <cp:lastModifiedBy>unicom</cp:lastModifiedBy>
  <dcterms:modified xsi:type="dcterms:W3CDTF">2023-02-17T06:03:23Z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bb72ced8-8f84-4ba8-bde7-52a7f308c753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KSOProductBuildVer">
    <vt:lpwstr>2052-11.8.2.11716</vt:lpwstr>
  </property>
  <property fmtid="{D5CDD505-2E9C-101B-9397-08002B2CF9AE}" pid="20" name="ICV">
    <vt:lpwstr>E6FC125F072D40CE9C9CE9F80164E99B</vt:lpwstr>
  </property>
</Properties>
</file>